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TRABAJO CIENTÍFICO</w:t>
      </w:r>
    </w:p>
    <w:p w:rsidR="00000000" w:rsidDel="00000000" w:rsidP="00000000" w:rsidRDefault="00000000" w:rsidRPr="00000000" w14:paraId="00000002">
      <w:pPr>
        <w:jc w:val="both"/>
        <w:rPr>
          <w:b w:val="1"/>
          <w:bCs w:val="1"/>
        </w:rPr>
      </w:pPr>
      <w:r w:rsidDel="00000000" w:rsidR="00000000" w:rsidRPr="00000000">
        <w:rPr>
          <w:rtl w:val="0"/>
        </w:rPr>
      </w:r>
    </w:p>
    <w:p w:rsidR="00000000" w:rsidDel="00000000" w:rsidP="00000000" w:rsidRDefault="00000000" w:rsidRPr="00000000" w14:paraId="00000003">
      <w:pPr>
        <w:spacing w:after="75" w:before="75" w:line="240" w:lineRule="auto"/>
        <w:rPr>
          <w:color w:val="000000"/>
        </w:rPr>
      </w:pPr>
      <w:r w:rsidDel="00000000" w:rsidR="00000000" w:rsidRPr="00000000">
        <w:rPr>
          <w:b w:val="1"/>
          <w:bCs w:val="1"/>
          <w:rtl w:val="0"/>
        </w:rPr>
        <w:t xml:space="preserve">Área temática elegida: n° 1/ </w:t>
      </w:r>
      <w:r w:rsidDel="00000000" w:rsidR="00000000" w:rsidRPr="00000000">
        <w:rPr>
          <w:color w:val="000000"/>
          <w:rtl w:val="0"/>
        </w:rPr>
        <w:t xml:space="preserve">Diseño y manejo de sistemas productivos agroecológicos</w:t>
      </w:r>
    </w:p>
    <w:p w:rsidR="00000000" w:rsidDel="00000000" w:rsidP="00000000" w:rsidRDefault="00000000" w:rsidRPr="00000000" w14:paraId="00000004">
      <w:pPr>
        <w:jc w:val="both"/>
        <w:rPr>
          <w:b w:val="1"/>
          <w:bCs w:val="1"/>
        </w:rPr>
      </w:pPr>
      <w:r w:rsidDel="00000000" w:rsidR="00000000" w:rsidRPr="00000000">
        <w:rPr>
          <w:rtl w:val="0"/>
        </w:rPr>
      </w:r>
    </w:p>
    <w:p w:rsidR="00000000" w:rsidDel="00000000" w:rsidP="00000000" w:rsidRDefault="00000000" w:rsidRPr="00000000" w14:paraId="00000005">
      <w:pPr>
        <w:jc w:val="center"/>
        <w:rPr>
          <w:b w:val="1"/>
          <w:bCs w:val="1"/>
          <w:sz w:val="24"/>
          <w:szCs w:val="24"/>
        </w:rPr>
      </w:pPr>
      <w:r w:rsidDel="00000000" w:rsidR="00000000" w:rsidRPr="00000000">
        <w:rPr>
          <w:b w:val="1"/>
          <w:bCs w:val="1"/>
          <w:sz w:val="24"/>
          <w:szCs w:val="24"/>
          <w:rtl w:val="0"/>
        </w:rPr>
        <w:t xml:space="preserve">La utilización de estrategias, prácticas y tecnologías agroecológicas en la horticultura bonaerense</w:t>
      </w:r>
    </w:p>
    <w:p w:rsidR="00000000" w:rsidDel="00000000" w:rsidP="00000000" w:rsidRDefault="00000000" w:rsidRPr="00000000" w14:paraId="00000006">
      <w:pPr>
        <w:spacing w:line="240" w:lineRule="auto"/>
        <w:jc w:val="center"/>
        <w:rPr>
          <w:b w:val="1"/>
          <w:bCs w:val="1"/>
          <w:color w:val="000000"/>
          <w:sz w:val="24"/>
          <w:szCs w:val="24"/>
        </w:rPr>
      </w:pPr>
      <w:r w:rsidDel="00000000" w:rsidR="00000000" w:rsidRPr="00000000">
        <w:rPr>
          <w:rtl w:val="0"/>
        </w:rPr>
      </w:r>
    </w:p>
    <w:p w:rsidR="00000000" w:rsidDel="00000000" w:rsidP="00000000" w:rsidRDefault="00000000" w:rsidRPr="00000000" w14:paraId="00000007">
      <w:pPr>
        <w:spacing w:line="240" w:lineRule="auto"/>
        <w:jc w:val="both"/>
        <w:rPr>
          <w:rFonts w:ascii="Times New Roman" w:cs="Times New Roman" w:eastAsia="Times New Roman" w:hAnsi="Times New Roman"/>
          <w:sz w:val="24"/>
          <w:szCs w:val="24"/>
        </w:rPr>
      </w:pPr>
      <w:r w:rsidDel="00000000" w:rsidR="00000000" w:rsidRPr="00000000">
        <w:rPr>
          <w:b w:val="1"/>
          <w:bCs w:val="1"/>
          <w:color w:val="000000"/>
          <w:rtl w:val="0"/>
        </w:rPr>
        <w:t xml:space="preserve">Resumen </w:t>
      </w:r>
      <w:r w:rsidDel="00000000" w:rsidR="00000000" w:rsidRPr="00000000">
        <w:rPr>
          <w:rtl w:val="0"/>
        </w:rPr>
      </w:r>
    </w:p>
    <w:p w:rsidR="00000000" w:rsidDel="00000000" w:rsidP="00000000" w:rsidRDefault="00000000" w:rsidRPr="00000000" w14:paraId="00000008">
      <w:pPr>
        <w:spacing w:line="240" w:lineRule="auto"/>
        <w:jc w:val="both"/>
        <w:rPr>
          <w:b w:val="1"/>
          <w:bCs w:val="1"/>
          <w:color w:val="000000"/>
        </w:rPr>
      </w:pPr>
      <w:r w:rsidDel="00000000" w:rsidR="00000000" w:rsidRPr="00000000">
        <w:rPr>
          <w:rtl w:val="0"/>
        </w:rPr>
        <w:t xml:space="preserve">En Argentina, el uso de plaguicidas se ha incrementado tanto en las actividades extensivas como en las intensivas pasando de 35 millones a 580 millones de kg/litros entre 1990 y 2022. Este proceso ha generado una serie de problemas socioambientales del cual no se exceptúan las actividades hortícolas por lo cual productores/as han desarrollado procesos de transición hacia el paradigma agroecológico. El objetivo de este trabajo es  describir las estrategias, tecnologías y prácticas puestas en juego por productores/as agroecológicos del AMBA. Se utilizó una metodología cualitativa basada en visitas a unidades productivas y entrevistas a productores. En los agroecosistemas analizados  los horticultores /as  han prescindido de la utilización de insumos de síntesis química, a partir de planificar, diagramar y poner en práctica agroecosistemas que se basan en la biodiversidad y en la nutrición integral de los suelos utilizando además preparados biológicos, bioinsumos comerciales y trampas. </w:t>
      </w:r>
      <w:r w:rsidDel="00000000" w:rsidR="00000000" w:rsidRPr="00000000">
        <w:rPr>
          <w:rtl w:val="0"/>
        </w:rPr>
      </w:r>
    </w:p>
    <w:p w:rsidR="00000000" w:rsidDel="00000000" w:rsidP="00000000" w:rsidRDefault="00000000" w:rsidRPr="00000000" w14:paraId="00000009">
      <w:pPr>
        <w:spacing w:line="240" w:lineRule="auto"/>
        <w:jc w:val="both"/>
        <w:rPr>
          <w:b w:val="1"/>
          <w:bCs w:val="1"/>
          <w:color w:val="000000"/>
        </w:rPr>
      </w:pPr>
      <w:r w:rsidDel="00000000" w:rsidR="00000000" w:rsidRPr="00000000">
        <w:rPr>
          <w:rtl w:val="0"/>
        </w:rPr>
      </w:r>
    </w:p>
    <w:p w:rsidR="00000000" w:rsidDel="00000000" w:rsidP="00000000" w:rsidRDefault="00000000" w:rsidRPr="00000000" w14:paraId="0000000A">
      <w:pPr>
        <w:spacing w:line="240" w:lineRule="auto"/>
        <w:jc w:val="both"/>
        <w:rPr>
          <w:color w:val="000000"/>
        </w:rPr>
      </w:pPr>
      <w:r w:rsidDel="00000000" w:rsidR="00000000" w:rsidRPr="00000000">
        <w:rPr>
          <w:b w:val="1"/>
          <w:bCs w:val="1"/>
          <w:color w:val="000000"/>
          <w:rtl w:val="0"/>
        </w:rPr>
        <w:t xml:space="preserve">Palabras clave</w:t>
      </w:r>
      <w:r w:rsidDel="00000000" w:rsidR="00000000" w:rsidRPr="00000000">
        <w:rPr>
          <w:color w:val="000000"/>
          <w:rtl w:val="0"/>
        </w:rPr>
        <w:t xml:space="preserve">: Nutrición de los suelos; biodiversidad; salud socioambiental; bioinsumos; sustentabilidad</w:t>
      </w:r>
    </w:p>
    <w:p w:rsidR="00000000" w:rsidDel="00000000" w:rsidP="00000000" w:rsidRDefault="00000000" w:rsidRPr="00000000" w14:paraId="0000000B">
      <w:pPr>
        <w:spacing w:line="240" w:lineRule="auto"/>
        <w:jc w:val="both"/>
        <w:rPr>
          <w:color w:val="000000"/>
        </w:rPr>
      </w:pPr>
      <w:r w:rsidDel="00000000" w:rsidR="00000000" w:rsidRPr="00000000">
        <w:rPr>
          <w:rtl w:val="0"/>
        </w:rPr>
      </w:r>
    </w:p>
    <w:p w:rsidR="00000000" w:rsidDel="00000000" w:rsidP="00000000" w:rsidRDefault="00000000" w:rsidRPr="00000000" w14:paraId="0000000C">
      <w:pPr>
        <w:spacing w:line="240" w:lineRule="auto"/>
        <w:jc w:val="both"/>
        <w:rPr>
          <w:b w:val="1"/>
          <w:bCs w:val="1"/>
          <w:color w:val="000000"/>
        </w:rPr>
      </w:pPr>
      <w:r w:rsidDel="00000000" w:rsidR="00000000" w:rsidRPr="00000000">
        <w:rPr>
          <w:b w:val="1"/>
          <w:bCs w:val="1"/>
          <w:color w:val="000000"/>
          <w:rtl w:val="0"/>
        </w:rPr>
        <w:t xml:space="preserve">Abstract</w:t>
      </w:r>
    </w:p>
    <w:p w:rsidR="00000000" w:rsidDel="00000000" w:rsidP="00000000" w:rsidRDefault="00000000" w:rsidRPr="00000000" w14:paraId="0000000D">
      <w:pPr>
        <w:spacing w:line="240" w:lineRule="auto"/>
        <w:jc w:val="both"/>
        <w:rPr/>
      </w:pPr>
      <w:r w:rsidDel="00000000" w:rsidR="00000000" w:rsidRPr="00000000">
        <w:rPr>
          <w:rtl w:val="0"/>
        </w:rPr>
        <w:t xml:space="preserve">In Argentina, pesticide use has increased in both extensive and intensive activities, rising from 35 million to 580 million kg/liters between 1990 and 2022. This process has generated a series of socio-environmental problems, from which horticultural activities are not exempt, leading producers to develop transition processes towards the agroecological paradigm. The objective of this study is to describe the strategies, technologies, and practices implemented by agroecological producers in the AMBA. A qualitative methodology was used, based on visits to production units and interviews with producers. In the agroecosystems analyzed, horticulturists have dispensed with the use of synthetic chemical inputs, based on planning, designing, and implementing agroecosystems that rely on biodiversity and comprehensive soil nutrition, also using biological preparations, commercial bio-inputs, and traps. </w:t>
      </w:r>
    </w:p>
    <w:p w:rsidR="00000000" w:rsidDel="00000000" w:rsidP="00000000" w:rsidRDefault="00000000" w:rsidRPr="00000000" w14:paraId="0000000E">
      <w:pPr>
        <w:spacing w:line="240" w:lineRule="auto"/>
        <w:jc w:val="both"/>
        <w:rPr/>
      </w:pPr>
      <w:r w:rsidDel="00000000" w:rsidR="00000000" w:rsidRPr="00000000">
        <w:rPr>
          <w:rtl w:val="0"/>
        </w:rPr>
      </w:r>
    </w:p>
    <w:p w:rsidR="00000000" w:rsidDel="00000000" w:rsidP="00000000" w:rsidRDefault="00000000" w:rsidRPr="00000000" w14:paraId="0000000F">
      <w:pPr>
        <w:spacing w:line="240" w:lineRule="auto"/>
        <w:jc w:val="both"/>
        <w:rPr>
          <w:color w:val="000000"/>
        </w:rPr>
      </w:pPr>
      <w:r w:rsidDel="00000000" w:rsidR="00000000" w:rsidRPr="00000000">
        <w:rPr>
          <w:b w:val="1"/>
          <w:bCs w:val="1"/>
          <w:color w:val="000000"/>
          <w:rtl w:val="0"/>
        </w:rPr>
        <w:t xml:space="preserve">Keywords: </w:t>
      </w:r>
      <w:r w:rsidDel="00000000" w:rsidR="00000000" w:rsidRPr="00000000">
        <w:rPr>
          <w:color w:val="000000"/>
          <w:rtl w:val="0"/>
        </w:rPr>
        <w:t xml:space="preserve">soil nutrition; biodiversity; socio-environmental health; bioinputs; sustainability; </w:t>
      </w:r>
    </w:p>
    <w:p w:rsidR="00000000" w:rsidDel="00000000" w:rsidP="00000000" w:rsidRDefault="00000000" w:rsidRPr="00000000" w14:paraId="00000010">
      <w:pPr>
        <w:spacing w:line="240" w:lineRule="auto"/>
        <w:jc w:val="both"/>
        <w:rPr>
          <w:color w:val="000000"/>
        </w:rPr>
      </w:pPr>
      <w:r w:rsidDel="00000000" w:rsidR="00000000" w:rsidRPr="00000000">
        <w:rPr>
          <w:rtl w:val="0"/>
        </w:rPr>
      </w:r>
    </w:p>
    <w:p w:rsidR="00000000" w:rsidDel="00000000" w:rsidP="00000000" w:rsidRDefault="00000000" w:rsidRPr="00000000" w14:paraId="00000011">
      <w:pPr>
        <w:spacing w:line="240" w:lineRule="auto"/>
        <w:jc w:val="both"/>
        <w:rPr>
          <w:rFonts w:ascii="Times New Roman" w:cs="Times New Roman" w:eastAsia="Times New Roman" w:hAnsi="Times New Roman"/>
          <w:sz w:val="24"/>
          <w:szCs w:val="24"/>
        </w:rPr>
      </w:pPr>
      <w:r w:rsidDel="00000000" w:rsidR="00000000" w:rsidRPr="00000000">
        <w:rPr>
          <w:b w:val="1"/>
          <w:bCs w:val="1"/>
          <w:color w:val="000000"/>
          <w:rtl w:val="0"/>
        </w:rPr>
        <w:t xml:space="preserve">Introducción</w:t>
      </w: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El Área Metropolitana de Buenos Aires está conformado desde 1996 por 39 distritos urbanos y periurbanos pertenecientes a la provincia de Buenos Aires, más la Ciudad Autónoma de Buenos Aires, ocupando una superficie de aproximadamente 18.028 km</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En la región se pueden distinguir cuatro cordones o coronas urbanas, integradas por diferentes distritos o partidos, con distinta densidad de población y desarrollo de actividades. En ella viven 14.839.026 de personas sobre un total nacional de 40.117.096 de habitantes, lo que equivale a decir que el AMBA concentra al 36,99 de la población del país (INTA, 2012). Son varios los procesos en los cuales se halla inmersa la horticultura desarrollada en las cercanías de las grandes ciudades. El primero es el de una creciente restricción en el acceso a la tierra derivado de los procesos de urbanización como de la especulación /inmobiliaria. Este encarecimiento de la tierra lleva a que los productores tomen diferentes estrategias basadas en la utilización intensiva de los suelos. En ocasiones, se han abandonado tecnologías de procesos, aquellas basadas en el conocimiento y en la creatividad de los/las productores/as, adaptadas en las condiciones ambientales y a las restricciones locales, siendo reemplazadas por tecnologías de insumos puntuales y específicos. El denominado proceso de artificialización de la agricultura se caracteriza por el no respeto de los flujos, ciclos y relaciones naturales y su reemplazo por la aplicación de fertilizantes, plaguicidas y utilización de tecnologías mecánicas. La expansión de los monocultivos, la ausencia de rotaciones, el incremento en el uso de plaguicidas posee un notable efecto socio ambiental. Los problemas y conflictos ambientales son intrínsecos al modelo de extracción – producción - consumo y descarte vigentes, en el cual los bienes comunes naturales son considerados recursos y como tal se los incluye en el circuito económico sin prestar atención a la compatibilidad entre las tasas de extracción y de renovación o recuperación de dichos bienes. En Argentina la superficie sembrada con cereales y oleaginosas creció de 19.000.000 de hectáreas en 1990 a 41.182.000 hectáreas en 2023, lo que representa un aumento del 117%. En el mismo período, la producción pasó de 38.200.000 toneladas a 140.893.000 toneladas, un incremento del 269%, mientras que la utilización de plaguicidas pasó de 35 millones a 580 millones de kg/litros entre 1990 y 2022, lo que representa un aumento del 1.657% (Souza Casadinho, 2025). Entre las consecuencias de este proceso cabe destacar el incremento en los costos de producción, la contaminación del suelo, el aire, el agua y la vegetación; la desaparición de insectos benéficos; el desarrollo de resistencias en insectos y plantas silvestres; y la intoxicación e incluso muerte de personas expuestas a estas sustancias. En la agricultura, el proceso de expansión de los monocultivos y su consecuente paquete tecnológico se haya relacionado con los procesos y políticas públicas que lo contienen y trascienden. Uno de los problemas más evidentes se halla relacionado con la pérdida de funcionalidad de los servicios ambientales (Souza Casadinho, 2021). La contaminación de los suelos y el agua así como la de los alimentos lleva a una disminución en su calidad intrínseca aspecto que se relaciona con la soberanía alimentaria. Respecto a los motivaciones que llevaron a los agricultores a producir bajo los preceptos y búsquedas del paradigma agroecológico cabe mencionar; a- Demostrar que es posible producir sin agrotóxicos. b-Producir alimentos sanos. c- Generar sistemas productivos sustentables. d-Recuperar modos de producción donde las hortalizas mantengan su color, sabor y gusto. e- Vincular a productores y consumidores más allá de las instancias de comercialización. </w:t>
      </w:r>
    </w:p>
    <w:p w:rsidR="00000000" w:rsidDel="00000000" w:rsidP="00000000" w:rsidRDefault="00000000" w:rsidRPr="00000000" w14:paraId="00000013">
      <w:pPr>
        <w:spacing w:line="240" w:lineRule="auto"/>
        <w:jc w:val="both"/>
        <w:rPr>
          <w:color w:val="000000"/>
        </w:rPr>
      </w:pPr>
      <w:r w:rsidDel="00000000" w:rsidR="00000000" w:rsidRPr="00000000">
        <w:rPr>
          <w:rtl w:val="0"/>
        </w:rPr>
      </w:r>
    </w:p>
    <w:p w:rsidR="00000000" w:rsidDel="00000000" w:rsidP="00000000" w:rsidRDefault="00000000" w:rsidRPr="00000000" w14:paraId="00000014">
      <w:pPr>
        <w:spacing w:line="240" w:lineRule="auto"/>
        <w:jc w:val="both"/>
        <w:rPr>
          <w:rFonts w:ascii="Times New Roman" w:cs="Times New Roman" w:eastAsia="Times New Roman" w:hAnsi="Times New Roman"/>
          <w:sz w:val="24"/>
          <w:szCs w:val="24"/>
        </w:rPr>
      </w:pPr>
      <w:r w:rsidDel="00000000" w:rsidR="00000000" w:rsidRPr="00000000">
        <w:rPr>
          <w:b w:val="1"/>
          <w:bCs w:val="1"/>
          <w:color w:val="000000"/>
          <w:rtl w:val="0"/>
        </w:rPr>
        <w:t xml:space="preserve">Metodología</w:t>
      </w: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 utilizó una metodológica de tipo cualitativo (Hernández Sampieri y Fernández Collado, 2006) basada en las visitas a 28 unidades agroecológicas ubicadas en los distritos de Escobar, Marcos Paz, Luján, La Plata, Moreno y Florencio Varela todos de la provincia de Buenos Aires. Durante las visitas se entrevistó a los/as agricultoras/es, se registraron sus estrategias productivas y realizó observación participante y no participante. Se buscó obtener información especialmente de las tecnologías y prácticas puestas en juego para manejar las adversidades. A su vez se analizaron registros de reuniones mantenidas con los/as productores /as. </w:t>
      </w:r>
    </w:p>
    <w:p w:rsidR="00000000" w:rsidDel="00000000" w:rsidP="00000000" w:rsidRDefault="00000000" w:rsidRPr="00000000" w14:paraId="00000016">
      <w:pPr>
        <w:spacing w:line="240" w:lineRule="auto"/>
        <w:rPr/>
      </w:pPr>
      <w:r w:rsidDel="00000000" w:rsidR="00000000" w:rsidRPr="00000000">
        <w:rPr>
          <w:rtl w:val="0"/>
        </w:rPr>
      </w:r>
    </w:p>
    <w:p w:rsidR="00000000" w:rsidDel="00000000" w:rsidP="00000000" w:rsidRDefault="00000000" w:rsidRPr="00000000" w14:paraId="00000017">
      <w:pPr>
        <w:spacing w:line="240" w:lineRule="auto"/>
        <w:jc w:val="both"/>
        <w:rPr>
          <w:b w:val="1"/>
          <w:bCs w:val="1"/>
          <w:color w:val="000000"/>
        </w:rPr>
      </w:pPr>
      <w:r w:rsidDel="00000000" w:rsidR="00000000" w:rsidRPr="00000000">
        <w:rPr>
          <w:b w:val="1"/>
          <w:bCs w:val="1"/>
          <w:color w:val="000000"/>
          <w:rtl w:val="0"/>
        </w:rPr>
        <w:t xml:space="preserve">Resultados y discusiones</w:t>
      </w:r>
    </w:p>
    <w:p w:rsidR="00000000" w:rsidDel="00000000" w:rsidP="00000000" w:rsidRDefault="00000000" w:rsidRPr="00000000" w14:paraId="00000018">
      <w:pPr>
        <w:spacing w:line="240" w:lineRule="auto"/>
        <w:jc w:val="both"/>
        <w:rPr>
          <w:color w:val="000000"/>
        </w:rPr>
      </w:pPr>
      <w:r w:rsidDel="00000000" w:rsidR="00000000" w:rsidRPr="00000000">
        <w:rPr>
          <w:color w:val="000000"/>
          <w:rtl w:val="0"/>
        </w:rPr>
        <w:t xml:space="preserve">En las unidades analizadas los productores /as buscan complementar diferentes prácticas y tecnologías dentro de las estrategias planteadas para alcanzar sus objetivos. Las mismas pueden poseer un origen interno o provenir del intercambio de experiencias con otros productores así como del intercambio con miembros de organizaciones e instituciones que realizan tareas de comunicación, extensión y transferencia tecnológica. Dadas las limitaciones de espacio no han podido desarrollarse con amplitud los indicadores de sustentabilidad y viabilidad de las unidades productivas.</w:t>
      </w:r>
    </w:p>
    <w:p w:rsidR="00000000" w:rsidDel="00000000" w:rsidP="00000000" w:rsidRDefault="00000000" w:rsidRPr="00000000" w14:paraId="00000019">
      <w:pPr>
        <w:spacing w:line="240" w:lineRule="auto"/>
        <w:jc w:val="both"/>
        <w:rPr>
          <w:b w:val="1"/>
          <w:bCs w:val="1"/>
        </w:rPr>
      </w:pPr>
      <w:r w:rsidDel="00000000" w:rsidR="00000000" w:rsidRPr="00000000">
        <w:rPr>
          <w:b w:val="1"/>
          <w:bCs w:val="1"/>
          <w:rtl w:val="0"/>
        </w:rPr>
        <w:t xml:space="preserve">a-Diseño</w:t>
      </w:r>
      <w:r w:rsidDel="00000000" w:rsidR="00000000" w:rsidRPr="00000000">
        <w:rPr>
          <w:rtl w:val="0"/>
        </w:rPr>
        <w:t xml:space="preserve">. En estos predios se intenta recrear una adecuada integración de cultivos, incluyendo especies arbóreas, con la cría de animales de diferente tipo. También fueron analizados sistemas productivos exclusivamente hortícolas, que, ante la imposibilidad de llevar a cabo un reciclaje integral de los nutrientes, demandan la aplicación permanente de abonos de origen externo. Se busca lograr la coexistencia e integración de componentes produciendo flujo de abonos, insectos benéficos (predadores, parásitos y polinizadores), barreras al ingreso de insectos y hongos perjudiciales.</w:t>
      </w:r>
      <w:r w:rsidDel="00000000" w:rsidR="00000000" w:rsidRPr="00000000">
        <w:rPr>
          <w:b w:val="1"/>
          <w:bCs w:val="1"/>
          <w:rtl w:val="0"/>
        </w:rPr>
        <w:t xml:space="preserve"> </w:t>
      </w:r>
      <w:r w:rsidDel="00000000" w:rsidR="00000000" w:rsidRPr="00000000">
        <w:rPr>
          <w:rtl w:val="0"/>
        </w:rPr>
        <w:t xml:space="preserve">Se ha observado el cultivo de barreras de árboles exóticos y autóctonos como protección contra el viento y también el ingreso de insectos, y hongos así como para la  provisión de sitios de refugio, alimentación y apareamiento a los insectos benéficos.</w:t>
      </w:r>
      <w:r w:rsidDel="00000000" w:rsidR="00000000" w:rsidRPr="00000000">
        <w:rPr>
          <w:rtl w:val="0"/>
        </w:rPr>
      </w:r>
    </w:p>
    <w:p w:rsidR="00000000" w:rsidDel="00000000" w:rsidP="00000000" w:rsidRDefault="00000000" w:rsidRPr="00000000" w14:paraId="0000001A">
      <w:pPr>
        <w:spacing w:line="240" w:lineRule="auto"/>
        <w:jc w:val="both"/>
        <w:rPr/>
      </w:pPr>
      <w:r w:rsidDel="00000000" w:rsidR="00000000" w:rsidRPr="00000000">
        <w:rPr>
          <w:b w:val="1"/>
          <w:bCs w:val="1"/>
          <w:rtl w:val="0"/>
        </w:rPr>
        <w:t xml:space="preserve">b- Utilización de semillas: </w:t>
      </w:r>
      <w:r w:rsidDel="00000000" w:rsidR="00000000" w:rsidRPr="00000000">
        <w:rPr>
          <w:rtl w:val="0"/>
        </w:rPr>
        <w:t xml:space="preserve">1-Inicio del cultivo con semillas de origen propio, sana y con buen vigor. 2-Producción de plantines propios o adquiridos en lugares donde se cultiven en apropiadas condiciones tal que aseguren una adecuada calidad. 3-Siembra según el ciclo y posición de la luna y relación con los planetas. </w:t>
      </w:r>
    </w:p>
    <w:p w:rsidR="00000000" w:rsidDel="00000000" w:rsidP="00000000" w:rsidRDefault="00000000" w:rsidRPr="00000000" w14:paraId="0000001B">
      <w:pPr>
        <w:tabs>
          <w:tab w:val="left" w:leader="none" w:pos="1620"/>
        </w:tabs>
        <w:spacing w:line="240" w:lineRule="auto"/>
        <w:jc w:val="both"/>
        <w:rPr/>
      </w:pPr>
      <w:r w:rsidDel="00000000" w:rsidR="00000000" w:rsidRPr="00000000">
        <w:rPr>
          <w:b w:val="1"/>
          <w:bCs w:val="1"/>
          <w:rtl w:val="0"/>
        </w:rPr>
        <w:t xml:space="preserve">c- Cultivos antecesores: </w:t>
      </w:r>
      <w:r w:rsidDel="00000000" w:rsidR="00000000" w:rsidRPr="00000000">
        <w:rPr>
          <w:rtl w:val="0"/>
        </w:rPr>
        <w:t xml:space="preserve">1-Rotaciones con pasturas de alfalfa (</w:t>
      </w:r>
      <w:r w:rsidDel="00000000" w:rsidR="00000000" w:rsidRPr="00000000">
        <w:rPr>
          <w:i w:val="1"/>
          <w:iCs w:val="1"/>
          <w:rtl w:val="0"/>
        </w:rPr>
        <w:t xml:space="preserve">Medicago sativa</w:t>
      </w:r>
      <w:r w:rsidDel="00000000" w:rsidR="00000000" w:rsidRPr="00000000">
        <w:rPr>
          <w:rtl w:val="0"/>
        </w:rPr>
        <w:t xml:space="preserve">), avena (</w:t>
      </w:r>
      <w:r w:rsidDel="00000000" w:rsidR="00000000" w:rsidRPr="00000000">
        <w:rPr>
          <w:i w:val="1"/>
          <w:iCs w:val="1"/>
          <w:rtl w:val="0"/>
        </w:rPr>
        <w:t xml:space="preserve">Avena sativa</w:t>
      </w:r>
      <w:r w:rsidDel="00000000" w:rsidR="00000000" w:rsidRPr="00000000">
        <w:rPr>
          <w:rtl w:val="0"/>
        </w:rPr>
        <w:t xml:space="preserve">)  o </w:t>
      </w:r>
      <w:r w:rsidDel="00000000" w:rsidR="00000000" w:rsidRPr="00000000">
        <w:rPr>
          <w:i w:val="1"/>
          <w:iCs w:val="1"/>
          <w:rtl w:val="0"/>
        </w:rPr>
        <w:t xml:space="preserve">Vícia sativa</w:t>
      </w:r>
      <w:r w:rsidDel="00000000" w:rsidR="00000000" w:rsidRPr="00000000">
        <w:rPr>
          <w:rtl w:val="0"/>
        </w:rPr>
        <w:t xml:space="preserve">,  utilizados como abono verde previo al cultivo. 2-Rotaciones con pasturas naturales para la cría y engorde de ganado. 3- Utilización de abonos verdes entre y dentro de los cultivos.</w:t>
      </w:r>
    </w:p>
    <w:p w:rsidR="00000000" w:rsidDel="00000000" w:rsidP="00000000" w:rsidRDefault="00000000" w:rsidRPr="00000000" w14:paraId="0000001C">
      <w:pPr>
        <w:spacing w:line="240" w:lineRule="auto"/>
        <w:jc w:val="both"/>
        <w:rPr/>
      </w:pPr>
      <w:r w:rsidDel="00000000" w:rsidR="00000000" w:rsidRPr="00000000">
        <w:rPr>
          <w:b w:val="1"/>
          <w:bCs w:val="1"/>
          <w:rtl w:val="0"/>
        </w:rPr>
        <w:t xml:space="preserve">d- Preparación del suelo: </w:t>
      </w:r>
      <w:r w:rsidDel="00000000" w:rsidR="00000000" w:rsidRPr="00000000">
        <w:rPr>
          <w:rtl w:val="0"/>
        </w:rPr>
        <w:t xml:space="preserve">1-Utilización de arado multicorte de penetración vertical. 2-Utilizacion de aradas profundas para enterrar insectos en sus fases de adultos, huevos y larvas por ejemplo de ácaros. 3-Utilizacion de vibrocultivadores. 4-Utilización de arados de cincel y discos. 5-Utiizacion de herramientas de mano (Palas, Layas, etc.).</w:t>
      </w:r>
    </w:p>
    <w:p w:rsidR="00000000" w:rsidDel="00000000" w:rsidP="00000000" w:rsidRDefault="00000000" w:rsidRPr="00000000" w14:paraId="0000001D">
      <w:pPr>
        <w:spacing w:line="240" w:lineRule="auto"/>
        <w:jc w:val="both"/>
        <w:rPr>
          <w:color w:val="000000"/>
        </w:rPr>
      </w:pPr>
      <w:r w:rsidDel="00000000" w:rsidR="00000000" w:rsidRPr="00000000">
        <w:rPr>
          <w:rtl w:val="0"/>
        </w:rPr>
        <w:t xml:space="preserve">e-</w:t>
      </w:r>
      <w:r w:rsidDel="00000000" w:rsidR="00000000" w:rsidRPr="00000000">
        <w:rPr>
          <w:b w:val="1"/>
          <w:bCs w:val="1"/>
          <w:rtl w:val="0"/>
        </w:rPr>
        <w:t xml:space="preserve">Uso de abonos orgánicos: </w:t>
      </w:r>
      <w:r w:rsidDel="00000000" w:rsidR="00000000" w:rsidRPr="00000000">
        <w:rPr>
          <w:rtl w:val="0"/>
        </w:rPr>
        <w:t xml:space="preserve">1- abono compuesto, el cual es  aplicado en almácigos, antes y luego de la siembra y en el trasplante. 2-Uso de rumen de vaca compostado o agregado al suelo directamente (el rumen es uno de los estómagos de la vaca y se obtiene en frigoríficos). 3-Utilización de abono confeccionado en base a biodigestores. 4-Utilización de abonos generados a partir de la descomposición de estiércol de origen humano (baño seco). 5-Aplicación de viruta de origen vegetal (chipeada/ procesada para disminuir su tamaño) en el abono compuesto o directamente en el cultivo. 6-Aplicación en el suelo estiércol de gallina, estiércol de cabra y aves de corral un mes o dos previo a la siembra o trasplante.</w:t>
      </w:r>
      <w:r w:rsidDel="00000000" w:rsidR="00000000" w:rsidRPr="00000000">
        <w:rPr>
          <w:rtl w:val="0"/>
        </w:rPr>
      </w:r>
    </w:p>
    <w:p w:rsidR="00000000" w:rsidDel="00000000" w:rsidP="00000000" w:rsidRDefault="00000000" w:rsidRPr="00000000" w14:paraId="0000001E">
      <w:pPr>
        <w:spacing w:line="240" w:lineRule="auto"/>
        <w:jc w:val="both"/>
        <w:rPr/>
      </w:pPr>
      <w:r w:rsidDel="00000000" w:rsidR="00000000" w:rsidRPr="00000000">
        <w:rPr>
          <w:rtl w:val="0"/>
        </w:rPr>
        <w:t xml:space="preserve">f- A</w:t>
      </w:r>
      <w:r w:rsidDel="00000000" w:rsidR="00000000" w:rsidRPr="00000000">
        <w:rPr>
          <w:b w:val="1"/>
          <w:bCs w:val="1"/>
          <w:rtl w:val="0"/>
        </w:rPr>
        <w:t xml:space="preserve">plicación de cubiertas en el suelo: </w:t>
      </w:r>
      <w:r w:rsidDel="00000000" w:rsidR="00000000" w:rsidRPr="00000000">
        <w:rPr>
          <w:rtl w:val="0"/>
        </w:rPr>
        <w:t xml:space="preserve">1-Utilización de cubiertas en base a pasto y hojas secas. 2-Utilización de plástico negro en frutillas. </w:t>
      </w:r>
    </w:p>
    <w:p w:rsidR="00000000" w:rsidDel="00000000" w:rsidP="00000000" w:rsidRDefault="00000000" w:rsidRPr="00000000" w14:paraId="0000001F">
      <w:pPr>
        <w:spacing w:line="240" w:lineRule="auto"/>
        <w:jc w:val="both"/>
        <w:rPr/>
      </w:pPr>
      <w:r w:rsidDel="00000000" w:rsidR="00000000" w:rsidRPr="00000000">
        <w:rPr>
          <w:rtl w:val="0"/>
        </w:rPr>
        <w:t xml:space="preserve">g-</w:t>
      </w:r>
      <w:r w:rsidDel="00000000" w:rsidR="00000000" w:rsidRPr="00000000">
        <w:rPr>
          <w:b w:val="1"/>
          <w:bCs w:val="1"/>
          <w:rtl w:val="0"/>
        </w:rPr>
        <w:t xml:space="preserve">Generación de biodiversidad. </w:t>
      </w:r>
      <w:r w:rsidDel="00000000" w:rsidR="00000000" w:rsidRPr="00000000">
        <w:rPr>
          <w:rtl w:val="0"/>
        </w:rPr>
        <w:t xml:space="preserve">1-Siembras de hortalizas asociadas en alta densidad a fin de favorecer el manejo de las plantas silvestres (sombreamiento, competencia por nutrientes y agua).2-Rotaciones entre familias de plantas (leguminosas como habas (</w:t>
      </w:r>
      <w:r w:rsidDel="00000000" w:rsidR="00000000" w:rsidRPr="00000000">
        <w:rPr>
          <w:i w:val="1"/>
          <w:iCs w:val="1"/>
          <w:rtl w:val="0"/>
        </w:rPr>
        <w:t xml:space="preserve">Vicia faba</w:t>
      </w:r>
      <w:r w:rsidDel="00000000" w:rsidR="00000000" w:rsidRPr="00000000">
        <w:rPr>
          <w:rtl w:val="0"/>
        </w:rPr>
        <w:t xml:space="preserve">), brasicáceas como repollo (</w:t>
      </w:r>
      <w:r w:rsidDel="00000000" w:rsidR="00000000" w:rsidRPr="00000000">
        <w:rPr>
          <w:i w:val="1"/>
          <w:iCs w:val="1"/>
          <w:rtl w:val="0"/>
        </w:rPr>
        <w:t xml:space="preserve">Brassica oleracea</w:t>
      </w:r>
      <w:r w:rsidDel="00000000" w:rsidR="00000000" w:rsidRPr="00000000">
        <w:rPr>
          <w:rtl w:val="0"/>
        </w:rPr>
        <w:t xml:space="preserve">), solanáceas como el tomate (</w:t>
      </w:r>
      <w:r w:rsidDel="00000000" w:rsidR="00000000" w:rsidRPr="00000000">
        <w:rPr>
          <w:i w:val="1"/>
          <w:iCs w:val="1"/>
          <w:rtl w:val="0"/>
        </w:rPr>
        <w:t xml:space="preserve">Solanum lycopersicon</w:t>
      </w:r>
      <w:r w:rsidDel="00000000" w:rsidR="00000000" w:rsidRPr="00000000">
        <w:rPr>
          <w:rtl w:val="0"/>
        </w:rPr>
        <w:t xml:space="preserve">) y quenopodiáceas como la acelga(</w:t>
      </w:r>
      <w:r w:rsidDel="00000000" w:rsidR="00000000" w:rsidRPr="00000000">
        <w:rPr>
          <w:i w:val="1"/>
          <w:iCs w:val="1"/>
          <w:rtl w:val="0"/>
        </w:rPr>
        <w:t xml:space="preserve">Beta vulgaris</w:t>
      </w:r>
      <w:r w:rsidDel="00000000" w:rsidR="00000000" w:rsidRPr="00000000">
        <w:rPr>
          <w:rtl w:val="0"/>
        </w:rPr>
        <w:t xml:space="preserve">). 3-Dejar plantas silvestres, entre las hileras de hortalizas, como ortigas (</w:t>
      </w:r>
      <w:r w:rsidDel="00000000" w:rsidR="00000000" w:rsidRPr="00000000">
        <w:rPr>
          <w:i w:val="1"/>
          <w:iCs w:val="1"/>
          <w:rtl w:val="0"/>
        </w:rPr>
        <w:t xml:space="preserve">Urtica sp</w:t>
      </w:r>
      <w:r w:rsidDel="00000000" w:rsidR="00000000" w:rsidRPr="00000000">
        <w:rPr>
          <w:rtl w:val="0"/>
        </w:rPr>
        <w:t xml:space="preserve">.) y tréboles  (</w:t>
      </w:r>
      <w:r w:rsidDel="00000000" w:rsidR="00000000" w:rsidRPr="00000000">
        <w:rPr>
          <w:i w:val="1"/>
          <w:iCs w:val="1"/>
          <w:rtl w:val="0"/>
        </w:rPr>
        <w:t xml:space="preserve">Trifolium sp</w:t>
      </w:r>
      <w:r w:rsidDel="00000000" w:rsidR="00000000" w:rsidRPr="00000000">
        <w:rPr>
          <w:rtl w:val="0"/>
        </w:rPr>
        <w:t xml:space="preserve">.) blanco y rojo y Melilotus sp. 4-Permitir crecer plantas con flores de colores vistosos y que provean néctar y polen, entre y dentro de las hileras de hortalizas, para traer insectos benéficos. </w:t>
      </w:r>
    </w:p>
    <w:p w:rsidR="00000000" w:rsidDel="00000000" w:rsidP="00000000" w:rsidRDefault="00000000" w:rsidRPr="00000000" w14:paraId="00000020">
      <w:pPr>
        <w:spacing w:line="240" w:lineRule="auto"/>
        <w:jc w:val="both"/>
        <w:rPr/>
      </w:pPr>
      <w:r w:rsidDel="00000000" w:rsidR="00000000" w:rsidRPr="00000000">
        <w:rPr>
          <w:rtl w:val="0"/>
        </w:rPr>
        <w:t xml:space="preserve">5-Incluir plantas con flores atractivas; dalias (</w:t>
      </w:r>
      <w:r w:rsidDel="00000000" w:rsidR="00000000" w:rsidRPr="00000000">
        <w:rPr>
          <w:i w:val="1"/>
          <w:iCs w:val="1"/>
          <w:rtl w:val="0"/>
        </w:rPr>
        <w:t xml:space="preserve">Daliha sp</w:t>
      </w:r>
      <w:r w:rsidDel="00000000" w:rsidR="00000000" w:rsidRPr="00000000">
        <w:rPr>
          <w:rtl w:val="0"/>
        </w:rPr>
        <w:t xml:space="preserve">.), caléndulas (</w:t>
      </w:r>
      <w:r w:rsidDel="00000000" w:rsidR="00000000" w:rsidRPr="00000000">
        <w:rPr>
          <w:i w:val="1"/>
          <w:iCs w:val="1"/>
          <w:rtl w:val="0"/>
        </w:rPr>
        <w:t xml:space="preserve">Calendula officinalis</w:t>
      </w:r>
      <w:r w:rsidDel="00000000" w:rsidR="00000000" w:rsidRPr="00000000">
        <w:rPr>
          <w:rtl w:val="0"/>
        </w:rPr>
        <w:t xml:space="preserve">), </w:t>
      </w:r>
      <w:r w:rsidDel="00000000" w:rsidR="00000000" w:rsidRPr="00000000">
        <w:rPr>
          <w:i w:val="1"/>
          <w:iCs w:val="1"/>
          <w:rtl w:val="0"/>
        </w:rPr>
        <w:t xml:space="preserve">Tagetes minuta</w:t>
      </w:r>
      <w:r w:rsidDel="00000000" w:rsidR="00000000" w:rsidRPr="00000000">
        <w:rPr>
          <w:rtl w:val="0"/>
        </w:rPr>
        <w:t xml:space="preserve"> en lugares estratégicos del cultivo (zona de medicinales y aromáticas).</w:t>
      </w:r>
    </w:p>
    <w:p w:rsidR="00000000" w:rsidDel="00000000" w:rsidP="00000000" w:rsidRDefault="00000000" w:rsidRPr="00000000" w14:paraId="00000021">
      <w:pPr>
        <w:spacing w:line="240" w:lineRule="auto"/>
        <w:jc w:val="both"/>
        <w:rPr/>
      </w:pPr>
      <w:r w:rsidDel="00000000" w:rsidR="00000000" w:rsidRPr="00000000">
        <w:rPr>
          <w:rtl w:val="0"/>
        </w:rPr>
        <w:t xml:space="preserve">6-Plantación de hortalizas entre árboles frutales cítricos (</w:t>
      </w:r>
      <w:r w:rsidDel="00000000" w:rsidR="00000000" w:rsidRPr="00000000">
        <w:rPr>
          <w:i w:val="1"/>
          <w:iCs w:val="1"/>
          <w:rtl w:val="0"/>
        </w:rPr>
        <w:t xml:space="preserve">Citrus sp</w:t>
      </w:r>
      <w:r w:rsidDel="00000000" w:rsidR="00000000" w:rsidRPr="00000000">
        <w:rPr>
          <w:rtl w:val="0"/>
        </w:rPr>
        <w:t xml:space="preserve">.) y de carozo y pepita </w:t>
      </w:r>
      <w:r w:rsidDel="00000000" w:rsidR="00000000" w:rsidRPr="00000000">
        <w:rPr>
          <w:i w:val="1"/>
          <w:iCs w:val="1"/>
          <w:rtl w:val="0"/>
        </w:rPr>
        <w:t xml:space="preserve">Malus sp</w:t>
      </w:r>
      <w:r w:rsidDel="00000000" w:rsidR="00000000" w:rsidRPr="00000000">
        <w:rPr>
          <w:rtl w:val="0"/>
        </w:rPr>
        <w:t xml:space="preserve">. y </w:t>
      </w:r>
      <w:r w:rsidDel="00000000" w:rsidR="00000000" w:rsidRPr="00000000">
        <w:rPr>
          <w:i w:val="1"/>
          <w:iCs w:val="1"/>
          <w:rtl w:val="0"/>
        </w:rPr>
        <w:t xml:space="preserve">Prunus sp</w:t>
      </w:r>
      <w:r w:rsidDel="00000000" w:rsidR="00000000" w:rsidRPr="00000000">
        <w:rPr>
          <w:rtl w:val="0"/>
        </w:rPr>
        <w:t xml:space="preserve">.). 7-Plantación de hortalizas entre árboles de uso forestal nativos, asilvestrados y exóticos. 8-Asociaciones de abonos verdes y cultivos hortícolas en franjas. 9- Uso de plantas medicinales como romero (</w:t>
      </w:r>
      <w:r w:rsidDel="00000000" w:rsidR="00000000" w:rsidRPr="00000000">
        <w:rPr>
          <w:i w:val="1"/>
          <w:iCs w:val="1"/>
          <w:rtl w:val="0"/>
        </w:rPr>
        <w:t xml:space="preserve">Rosmarius sp</w:t>
      </w:r>
      <w:r w:rsidDel="00000000" w:rsidR="00000000" w:rsidRPr="00000000">
        <w:rPr>
          <w:rtl w:val="0"/>
        </w:rPr>
        <w:t xml:space="preserve">.), orégano (</w:t>
      </w:r>
      <w:r w:rsidDel="00000000" w:rsidR="00000000" w:rsidRPr="00000000">
        <w:rPr>
          <w:i w:val="1"/>
          <w:iCs w:val="1"/>
          <w:rtl w:val="0"/>
        </w:rPr>
        <w:t xml:space="preserve">Origanum sp</w:t>
      </w:r>
      <w:r w:rsidDel="00000000" w:rsidR="00000000" w:rsidRPr="00000000">
        <w:rPr>
          <w:rtl w:val="0"/>
        </w:rPr>
        <w:t xml:space="preserve">.), menta (</w:t>
      </w:r>
      <w:r w:rsidDel="00000000" w:rsidR="00000000" w:rsidRPr="00000000">
        <w:rPr>
          <w:i w:val="1"/>
          <w:iCs w:val="1"/>
          <w:rtl w:val="0"/>
        </w:rPr>
        <w:t xml:space="preserve">Mentha sp</w:t>
      </w:r>
      <w:r w:rsidDel="00000000" w:rsidR="00000000" w:rsidRPr="00000000">
        <w:rPr>
          <w:rtl w:val="0"/>
        </w:rPr>
        <w:t xml:space="preserve">.), melisa (</w:t>
      </w:r>
      <w:r w:rsidDel="00000000" w:rsidR="00000000" w:rsidRPr="00000000">
        <w:rPr>
          <w:i w:val="1"/>
          <w:iCs w:val="1"/>
          <w:rtl w:val="0"/>
        </w:rPr>
        <w:t xml:space="preserve">Melissa sp</w:t>
      </w:r>
      <w:r w:rsidDel="00000000" w:rsidR="00000000" w:rsidRPr="00000000">
        <w:rPr>
          <w:rtl w:val="0"/>
        </w:rPr>
        <w:t xml:space="preserve">.), Manzanilla (</w:t>
      </w:r>
      <w:r w:rsidDel="00000000" w:rsidR="00000000" w:rsidRPr="00000000">
        <w:rPr>
          <w:i w:val="1"/>
          <w:iCs w:val="1"/>
          <w:rtl w:val="0"/>
        </w:rPr>
        <w:t xml:space="preserve">Matricaria sp</w:t>
      </w:r>
      <w:r w:rsidDel="00000000" w:rsidR="00000000" w:rsidRPr="00000000">
        <w:rPr>
          <w:rtl w:val="0"/>
        </w:rPr>
        <w:t xml:space="preserve">.).</w:t>
      </w:r>
    </w:p>
    <w:p w:rsidR="00000000" w:rsidDel="00000000" w:rsidP="00000000" w:rsidRDefault="00000000" w:rsidRPr="00000000" w14:paraId="00000022">
      <w:pPr>
        <w:spacing w:line="240" w:lineRule="auto"/>
        <w:jc w:val="both"/>
        <w:rPr/>
      </w:pPr>
      <w:r w:rsidDel="00000000" w:rsidR="00000000" w:rsidRPr="00000000">
        <w:rPr>
          <w:b w:val="1"/>
          <w:bCs w:val="1"/>
          <w:rtl w:val="0"/>
        </w:rPr>
        <w:t xml:space="preserve">h-Utilización de abonos foliares: </w:t>
      </w:r>
      <w:r w:rsidDel="00000000" w:rsidR="00000000" w:rsidRPr="00000000">
        <w:rPr>
          <w:rtl w:val="0"/>
        </w:rPr>
        <w:t xml:space="preserve">1-Supermagro: abono foliar en base a estiércol de animales y sales minerales. 2-Caldo de cenizas:</w:t>
      </w:r>
      <w:r w:rsidDel="00000000" w:rsidR="00000000" w:rsidRPr="00000000">
        <w:rPr>
          <w:b w:val="1"/>
          <w:bCs w:val="1"/>
          <w:rtl w:val="0"/>
        </w:rPr>
        <w:t xml:space="preserve"> </w:t>
      </w:r>
      <w:r w:rsidDel="00000000" w:rsidR="00000000" w:rsidRPr="00000000">
        <w:rPr>
          <w:rtl w:val="0"/>
        </w:rPr>
        <w:t xml:space="preserve">Producto elaborado en base a jabón blanco, cenizas y agua. 3-Fosfito: Producto en base a conchillas, hueso molido y agua.</w:t>
      </w:r>
    </w:p>
    <w:p w:rsidR="00000000" w:rsidDel="00000000" w:rsidP="00000000" w:rsidRDefault="00000000" w:rsidRPr="00000000" w14:paraId="00000023">
      <w:pPr>
        <w:tabs>
          <w:tab w:val="left" w:leader="none" w:pos="720"/>
        </w:tabs>
        <w:spacing w:line="240" w:lineRule="auto"/>
        <w:jc w:val="both"/>
        <w:rPr>
          <w:b w:val="1"/>
          <w:bCs w:val="1"/>
        </w:rPr>
      </w:pPr>
      <w:r w:rsidDel="00000000" w:rsidR="00000000" w:rsidRPr="00000000">
        <w:rPr>
          <w:b w:val="1"/>
          <w:bCs w:val="1"/>
          <w:rtl w:val="0"/>
        </w:rPr>
        <w:t xml:space="preserve">i-Utilización de preparados para combatir insectos o mejora la salud de las plantas:</w:t>
      </w:r>
    </w:p>
    <w:p w:rsidR="00000000" w:rsidDel="00000000" w:rsidP="00000000" w:rsidRDefault="00000000" w:rsidRPr="00000000" w14:paraId="00000024">
      <w:pPr>
        <w:tabs>
          <w:tab w:val="left" w:leader="none" w:pos="720"/>
        </w:tabs>
        <w:spacing w:line="240" w:lineRule="auto"/>
        <w:jc w:val="both"/>
        <w:rPr/>
      </w:pPr>
      <w:r w:rsidDel="00000000" w:rsidR="00000000" w:rsidRPr="00000000">
        <w:rPr>
          <w:rtl w:val="0"/>
        </w:rPr>
        <w:t xml:space="preserve">1-Apichi una mezcla de ají </w:t>
      </w:r>
      <w:r w:rsidDel="00000000" w:rsidR="00000000" w:rsidRPr="00000000">
        <w:rPr>
          <w:i w:val="1"/>
          <w:iCs w:val="1"/>
          <w:rtl w:val="0"/>
        </w:rPr>
        <w:t xml:space="preserve">(Capsicum frutescens) </w:t>
      </w:r>
      <w:r w:rsidDel="00000000" w:rsidR="00000000" w:rsidRPr="00000000">
        <w:rPr>
          <w:rtl w:val="0"/>
        </w:rPr>
        <w:t xml:space="preserve">más pimienta (</w:t>
      </w:r>
      <w:r w:rsidDel="00000000" w:rsidR="00000000" w:rsidRPr="00000000">
        <w:rPr>
          <w:i w:val="1"/>
          <w:iCs w:val="1"/>
          <w:rtl w:val="0"/>
        </w:rPr>
        <w:t xml:space="preserve">Piper nigrum</w:t>
      </w:r>
      <w:r w:rsidDel="00000000" w:rsidR="00000000" w:rsidRPr="00000000">
        <w:rPr>
          <w:rtl w:val="0"/>
        </w:rPr>
        <w:t xml:space="preserve">), ambos fermentados en agua).</w:t>
      </w:r>
    </w:p>
    <w:p w:rsidR="00000000" w:rsidDel="00000000" w:rsidP="00000000" w:rsidRDefault="00000000" w:rsidRPr="00000000" w14:paraId="00000025">
      <w:pPr>
        <w:tabs>
          <w:tab w:val="left" w:leader="none" w:pos="720"/>
        </w:tabs>
        <w:spacing w:line="240" w:lineRule="auto"/>
        <w:jc w:val="both"/>
        <w:rPr/>
      </w:pPr>
      <w:r w:rsidDel="00000000" w:rsidR="00000000" w:rsidRPr="00000000">
        <w:rPr>
          <w:rtl w:val="0"/>
        </w:rPr>
        <w:t xml:space="preserve">2-Utilización de preparados biodinámicos en base caléndulas (</w:t>
      </w:r>
      <w:r w:rsidDel="00000000" w:rsidR="00000000" w:rsidRPr="00000000">
        <w:rPr>
          <w:i w:val="1"/>
          <w:iCs w:val="1"/>
          <w:rtl w:val="0"/>
        </w:rPr>
        <w:t xml:space="preserve">Calendula officinalis</w:t>
      </w:r>
      <w:r w:rsidDel="00000000" w:rsidR="00000000" w:rsidRPr="00000000">
        <w:rPr>
          <w:rtl w:val="0"/>
        </w:rPr>
        <w:t xml:space="preserve">), milenrama (</w:t>
      </w:r>
      <w:r w:rsidDel="00000000" w:rsidR="00000000" w:rsidRPr="00000000">
        <w:rPr>
          <w:i w:val="1"/>
          <w:iCs w:val="1"/>
          <w:rtl w:val="0"/>
        </w:rPr>
        <w:t xml:space="preserve">Achillea millefolium</w:t>
      </w:r>
      <w:r w:rsidDel="00000000" w:rsidR="00000000" w:rsidRPr="00000000">
        <w:rPr>
          <w:rtl w:val="0"/>
        </w:rPr>
        <w:t xml:space="preserve">), ortiga (</w:t>
      </w:r>
      <w:r w:rsidDel="00000000" w:rsidR="00000000" w:rsidRPr="00000000">
        <w:rPr>
          <w:i w:val="1"/>
          <w:iCs w:val="1"/>
          <w:rtl w:val="0"/>
        </w:rPr>
        <w:t xml:space="preserve">Urtica dioica</w:t>
      </w:r>
      <w:r w:rsidDel="00000000" w:rsidR="00000000" w:rsidRPr="00000000">
        <w:rPr>
          <w:rtl w:val="0"/>
        </w:rPr>
        <w:t xml:space="preserve">), diente de león (</w:t>
      </w:r>
      <w:r w:rsidDel="00000000" w:rsidR="00000000" w:rsidRPr="00000000">
        <w:rPr>
          <w:i w:val="1"/>
          <w:iCs w:val="1"/>
          <w:rtl w:val="0"/>
        </w:rPr>
        <w:t xml:space="preserve">Taraxacum officinale</w:t>
      </w:r>
      <w:r w:rsidDel="00000000" w:rsidR="00000000" w:rsidRPr="00000000">
        <w:rPr>
          <w:rtl w:val="0"/>
        </w:rPr>
        <w:t xml:space="preserve">), manzanilla (Matricaria chamomilla), valeriana (</w:t>
      </w:r>
      <w:r w:rsidDel="00000000" w:rsidR="00000000" w:rsidRPr="00000000">
        <w:rPr>
          <w:i w:val="1"/>
          <w:iCs w:val="1"/>
          <w:rtl w:val="0"/>
        </w:rPr>
        <w:t xml:space="preserve">Valeriana sp.</w:t>
      </w:r>
      <w:r w:rsidDel="00000000" w:rsidR="00000000" w:rsidRPr="00000000">
        <w:rPr>
          <w:rtl w:val="0"/>
        </w:rPr>
        <w:t xml:space="preserve">)  y corteza de roble (</w:t>
      </w:r>
      <w:r w:rsidDel="00000000" w:rsidR="00000000" w:rsidRPr="00000000">
        <w:rPr>
          <w:i w:val="1"/>
          <w:iCs w:val="1"/>
          <w:rtl w:val="0"/>
        </w:rPr>
        <w:t xml:space="preserve">Quercus robur</w:t>
      </w:r>
      <w:r w:rsidDel="00000000" w:rsidR="00000000" w:rsidRPr="00000000">
        <w:rPr>
          <w:rtl w:val="0"/>
        </w:rPr>
        <w:t xml:space="preserve">). 3-Preparados biodinámicos en base cocimiento de cola de caballo (</w:t>
      </w:r>
      <w:r w:rsidDel="00000000" w:rsidR="00000000" w:rsidRPr="00000000">
        <w:rPr>
          <w:i w:val="1"/>
          <w:iCs w:val="1"/>
          <w:rtl w:val="0"/>
        </w:rPr>
        <w:t xml:space="preserve">Equisetum sp</w:t>
      </w:r>
      <w:r w:rsidDel="00000000" w:rsidR="00000000" w:rsidRPr="00000000">
        <w:rPr>
          <w:rtl w:val="0"/>
        </w:rPr>
        <w:t xml:space="preserve">.). 4-Preparados biodinámicos en base a estiércol animal colocado en tripas de animales. 5-Preparados biodinámicos en base a estiércol animal colocado en cuernos de animales. 6-Preparados biodinámicos en base a sílice y cuarzo. 7-Aplicación de purín de ortiga (</w:t>
      </w:r>
      <w:r w:rsidDel="00000000" w:rsidR="00000000" w:rsidRPr="00000000">
        <w:rPr>
          <w:i w:val="1"/>
          <w:iCs w:val="1"/>
          <w:rtl w:val="0"/>
        </w:rPr>
        <w:t xml:space="preserve">Urtica dioica) </w:t>
      </w:r>
      <w:r w:rsidDel="00000000" w:rsidR="00000000" w:rsidRPr="00000000">
        <w:rPr>
          <w:rtl w:val="0"/>
        </w:rPr>
        <w:t xml:space="preserve">fermentada en agua como energizante de las plantas. 8-Aplicación de orina de vaca diluida en agua. 9-Alcohol de ajo (</w:t>
      </w:r>
      <w:r w:rsidDel="00000000" w:rsidR="00000000" w:rsidRPr="00000000">
        <w:rPr>
          <w:i w:val="1"/>
          <w:iCs w:val="1"/>
          <w:rtl w:val="0"/>
        </w:rPr>
        <w:t xml:space="preserve">Allium sativum</w:t>
      </w:r>
      <w:r w:rsidDel="00000000" w:rsidR="00000000" w:rsidRPr="00000000">
        <w:rPr>
          <w:rtl w:val="0"/>
        </w:rPr>
        <w:t xml:space="preserve">) y ruda (</w:t>
      </w:r>
      <w:r w:rsidDel="00000000" w:rsidR="00000000" w:rsidRPr="00000000">
        <w:rPr>
          <w:i w:val="1"/>
          <w:iCs w:val="1"/>
          <w:rtl w:val="0"/>
        </w:rPr>
        <w:t xml:space="preserve">Ruta sp</w:t>
      </w:r>
      <w:r w:rsidDel="00000000" w:rsidR="00000000" w:rsidRPr="00000000">
        <w:rPr>
          <w:rtl w:val="0"/>
        </w:rPr>
        <w:t xml:space="preserve">.) 8- Sales minerales. 9- Preparados comerciales en base a hongos y bacterias </w:t>
      </w:r>
    </w:p>
    <w:p w:rsidR="00000000" w:rsidDel="00000000" w:rsidP="00000000" w:rsidRDefault="00000000" w:rsidRPr="00000000" w14:paraId="00000026">
      <w:pPr>
        <w:tabs>
          <w:tab w:val="left" w:leader="none" w:pos="720"/>
        </w:tabs>
        <w:spacing w:line="240" w:lineRule="auto"/>
        <w:jc w:val="both"/>
        <w:rPr>
          <w:b w:val="1"/>
          <w:bCs w:val="1"/>
          <w:color w:val="00b0f0"/>
        </w:rPr>
      </w:pPr>
      <w:r w:rsidDel="00000000" w:rsidR="00000000" w:rsidRPr="00000000">
        <w:rPr>
          <w:rtl w:val="0"/>
        </w:rPr>
      </w:r>
    </w:p>
    <w:p w:rsidR="00000000" w:rsidDel="00000000" w:rsidP="00000000" w:rsidRDefault="00000000" w:rsidRPr="00000000" w14:paraId="00000027">
      <w:pPr>
        <w:tabs>
          <w:tab w:val="left" w:leader="none" w:pos="720"/>
        </w:tabs>
        <w:spacing w:line="240" w:lineRule="auto"/>
        <w:jc w:val="both"/>
        <w:rPr>
          <w:b w:val="1"/>
          <w:bCs w:val="1"/>
        </w:rPr>
      </w:pPr>
      <w:r w:rsidDel="00000000" w:rsidR="00000000" w:rsidRPr="00000000">
        <w:rPr>
          <w:b w:val="1"/>
          <w:bCs w:val="1"/>
          <w:rtl w:val="0"/>
        </w:rPr>
        <w:t xml:space="preserve">Estrategias, preparados y productos utilizados para manejar insectos específicos:</w:t>
      </w:r>
    </w:p>
    <w:p w:rsidR="00000000" w:rsidDel="00000000" w:rsidP="00000000" w:rsidRDefault="00000000" w:rsidRPr="00000000" w14:paraId="00000028">
      <w:pPr>
        <w:spacing w:line="240" w:lineRule="auto"/>
        <w:jc w:val="both"/>
        <w:rPr/>
      </w:pPr>
      <w:bookmarkStart w:colFirst="0" w:colLast="0" w:name="_myo7tq4ikp74" w:id="0"/>
      <w:bookmarkEnd w:id="0"/>
      <w:r w:rsidDel="00000000" w:rsidR="00000000" w:rsidRPr="00000000">
        <w:rPr>
          <w:b w:val="1"/>
          <w:bCs w:val="1"/>
          <w:rtl w:val="0"/>
        </w:rPr>
        <w:t xml:space="preserve">1-Arañuelas (</w:t>
      </w:r>
      <w:r w:rsidDel="00000000" w:rsidR="00000000" w:rsidRPr="00000000">
        <w:rPr>
          <w:i w:val="1"/>
          <w:iCs w:val="1"/>
          <w:rtl w:val="0"/>
        </w:rPr>
        <w:t xml:space="preserve">Tetranychus sp., Panonychus </w:t>
      </w:r>
      <w:r w:rsidDel="00000000" w:rsidR="00000000" w:rsidRPr="00000000">
        <w:rPr>
          <w:i w:val="1"/>
          <w:iCs w:val="1"/>
          <w:color w:val="44546a"/>
          <w:rtl w:val="0"/>
        </w:rPr>
        <w:t xml:space="preserve">sp</w:t>
      </w:r>
      <w:r w:rsidDel="00000000" w:rsidR="00000000" w:rsidRPr="00000000">
        <w:rPr>
          <w:color w:val="44546a"/>
          <w:rtl w:val="0"/>
        </w:rPr>
        <w:t xml:space="preserve">)</w:t>
      </w:r>
      <w:r w:rsidDel="00000000" w:rsidR="00000000" w:rsidRPr="00000000">
        <w:rPr>
          <w:b w:val="1"/>
          <w:bCs w:val="1"/>
          <w:rtl w:val="0"/>
        </w:rPr>
        <w:t xml:space="preserve">: </w:t>
      </w:r>
      <w:r w:rsidDel="00000000" w:rsidR="00000000" w:rsidRPr="00000000">
        <w:rPr>
          <w:rtl w:val="0"/>
        </w:rPr>
        <w:t xml:space="preserve">Alcohol de ajo (</w:t>
      </w:r>
      <w:r w:rsidDel="00000000" w:rsidR="00000000" w:rsidRPr="00000000">
        <w:rPr>
          <w:i w:val="1"/>
          <w:iCs w:val="1"/>
          <w:rtl w:val="0"/>
        </w:rPr>
        <w:t xml:space="preserve">Allium sativum),</w:t>
      </w:r>
      <w:r w:rsidDel="00000000" w:rsidR="00000000" w:rsidRPr="00000000">
        <w:rPr>
          <w:rtl w:val="0"/>
        </w:rPr>
        <w:t xml:space="preserve"> purín de ortiga (</w:t>
      </w:r>
      <w:r w:rsidDel="00000000" w:rsidR="00000000" w:rsidRPr="00000000">
        <w:rPr>
          <w:i w:val="1"/>
          <w:iCs w:val="1"/>
          <w:rtl w:val="0"/>
        </w:rPr>
        <w:t xml:space="preserve">Urtica dioica</w:t>
      </w:r>
      <w:r w:rsidDel="00000000" w:rsidR="00000000" w:rsidRPr="00000000">
        <w:rPr>
          <w:rtl w:val="0"/>
        </w:rPr>
        <w:t xml:space="preserve">), azufre en polvo mojable. Producto comercial a base de Neem (</w:t>
      </w:r>
      <w:r w:rsidDel="00000000" w:rsidR="00000000" w:rsidRPr="00000000">
        <w:rPr>
          <w:i w:val="1"/>
          <w:iCs w:val="1"/>
          <w:rtl w:val="0"/>
        </w:rPr>
        <w:t xml:space="preserve">Azadirachta sp</w:t>
      </w:r>
      <w:r w:rsidDel="00000000" w:rsidR="00000000" w:rsidRPr="00000000">
        <w:rPr>
          <w:rtl w:val="0"/>
        </w:rPr>
        <w:t xml:space="preserve">.) y mezcla sulfocálcica.</w:t>
      </w:r>
    </w:p>
    <w:p w:rsidR="00000000" w:rsidDel="00000000" w:rsidP="00000000" w:rsidRDefault="00000000" w:rsidRPr="00000000" w14:paraId="00000029">
      <w:pPr>
        <w:spacing w:line="240" w:lineRule="auto"/>
        <w:jc w:val="both"/>
        <w:rPr/>
      </w:pPr>
      <w:bookmarkStart w:colFirst="0" w:colLast="0" w:name="_ltmcqqi8jhno" w:id="1"/>
      <w:bookmarkEnd w:id="1"/>
      <w:r w:rsidDel="00000000" w:rsidR="00000000" w:rsidRPr="00000000">
        <w:rPr>
          <w:b w:val="1"/>
          <w:bCs w:val="1"/>
          <w:rtl w:val="0"/>
        </w:rPr>
        <w:t xml:space="preserve">2-Cochinillas (</w:t>
      </w:r>
      <w:r w:rsidDel="00000000" w:rsidR="00000000" w:rsidRPr="00000000">
        <w:rPr>
          <w:i w:val="1"/>
          <w:iCs w:val="1"/>
          <w:rtl w:val="0"/>
        </w:rPr>
        <w:t xml:space="preserve">Coccus sp., Ceroplastes sp.</w:t>
      </w:r>
      <w:r w:rsidDel="00000000" w:rsidR="00000000" w:rsidRPr="00000000">
        <w:rPr>
          <w:color w:val="44546a"/>
          <w:rtl w:val="0"/>
        </w:rPr>
        <w:t xml:space="preserve">)</w:t>
      </w:r>
      <w:r w:rsidDel="00000000" w:rsidR="00000000" w:rsidRPr="00000000">
        <w:rPr>
          <w:b w:val="1"/>
          <w:bCs w:val="1"/>
          <w:rtl w:val="0"/>
        </w:rPr>
        <w:t xml:space="preserve">: </w:t>
      </w:r>
      <w:r w:rsidDel="00000000" w:rsidR="00000000" w:rsidRPr="00000000">
        <w:rPr>
          <w:rtl w:val="0"/>
        </w:rPr>
        <w:t xml:space="preserve">Alcohol de ajo (</w:t>
      </w:r>
      <w:r w:rsidDel="00000000" w:rsidR="00000000" w:rsidRPr="00000000">
        <w:rPr>
          <w:i w:val="1"/>
          <w:iCs w:val="1"/>
          <w:rtl w:val="0"/>
        </w:rPr>
        <w:t xml:space="preserve">Allium sativum)</w:t>
      </w:r>
      <w:r w:rsidDel="00000000" w:rsidR="00000000" w:rsidRPr="00000000">
        <w:rPr>
          <w:rtl w:val="0"/>
        </w:rPr>
        <w:t xml:space="preserve">, cocimiento de cola de caballo (</w:t>
      </w:r>
      <w:r w:rsidDel="00000000" w:rsidR="00000000" w:rsidRPr="00000000">
        <w:rPr>
          <w:i w:val="1"/>
          <w:iCs w:val="1"/>
          <w:rtl w:val="0"/>
        </w:rPr>
        <w:t xml:space="preserve">Equisetum sp.),</w:t>
      </w:r>
      <w:r w:rsidDel="00000000" w:rsidR="00000000" w:rsidRPr="00000000">
        <w:rPr>
          <w:rtl w:val="0"/>
        </w:rPr>
        <w:t xml:space="preserve"> disolución de jabón blanco o Jabón potásico en agua, alcohol de ruda (</w:t>
      </w:r>
      <w:r w:rsidDel="00000000" w:rsidR="00000000" w:rsidRPr="00000000">
        <w:rPr>
          <w:i w:val="1"/>
          <w:iCs w:val="1"/>
          <w:rtl w:val="0"/>
        </w:rPr>
        <w:t xml:space="preserve">Ruta chalepensis),</w:t>
      </w:r>
      <w:r w:rsidDel="00000000" w:rsidR="00000000" w:rsidRPr="00000000">
        <w:rPr>
          <w:rtl w:val="0"/>
        </w:rPr>
        <w:t xml:space="preserve"> producto comercial a base de neem (</w:t>
      </w:r>
      <w:r w:rsidDel="00000000" w:rsidR="00000000" w:rsidRPr="00000000">
        <w:rPr>
          <w:i w:val="1"/>
          <w:iCs w:val="1"/>
          <w:rtl w:val="0"/>
        </w:rPr>
        <w:t xml:space="preserve">Azadirachta sp</w:t>
      </w:r>
      <w:r w:rsidDel="00000000" w:rsidR="00000000" w:rsidRPr="00000000">
        <w:rPr>
          <w:rtl w:val="0"/>
        </w:rPr>
        <w:t xml:space="preserve">.) y mezcla sulfocálcica</w:t>
      </w:r>
    </w:p>
    <w:p w:rsidR="00000000" w:rsidDel="00000000" w:rsidP="00000000" w:rsidRDefault="00000000" w:rsidRPr="00000000" w14:paraId="0000002A">
      <w:pPr>
        <w:spacing w:line="240" w:lineRule="auto"/>
        <w:jc w:val="both"/>
        <w:rPr/>
      </w:pPr>
      <w:bookmarkStart w:colFirst="0" w:colLast="0" w:name="_7d61leaqakg3" w:id="2"/>
      <w:bookmarkEnd w:id="2"/>
      <w:r w:rsidDel="00000000" w:rsidR="00000000" w:rsidRPr="00000000">
        <w:rPr>
          <w:b w:val="1"/>
          <w:bCs w:val="1"/>
          <w:rtl w:val="0"/>
        </w:rPr>
        <w:t xml:space="preserve">3-Chinches </w:t>
      </w:r>
      <w:r w:rsidDel="00000000" w:rsidR="00000000" w:rsidRPr="00000000">
        <w:rPr>
          <w:rtl w:val="0"/>
        </w:rPr>
        <w:t xml:space="preserve">(</w:t>
      </w:r>
      <w:r w:rsidDel="00000000" w:rsidR="00000000" w:rsidRPr="00000000">
        <w:rPr>
          <w:i w:val="1"/>
          <w:iCs w:val="1"/>
          <w:rtl w:val="0"/>
        </w:rPr>
        <w:t xml:space="preserve">Nezara sp</w:t>
      </w:r>
      <w:r w:rsidDel="00000000" w:rsidR="00000000" w:rsidRPr="00000000">
        <w:rPr>
          <w:rtl w:val="0"/>
        </w:rPr>
        <w:t xml:space="preserve">.):</w:t>
      </w:r>
      <w:r w:rsidDel="00000000" w:rsidR="00000000" w:rsidRPr="00000000">
        <w:rPr>
          <w:b w:val="1"/>
          <w:bCs w:val="1"/>
          <w:rtl w:val="0"/>
        </w:rPr>
        <w:t xml:space="preserve"> </w:t>
      </w:r>
      <w:r w:rsidDel="00000000" w:rsidR="00000000" w:rsidRPr="00000000">
        <w:rPr>
          <w:rtl w:val="0"/>
        </w:rPr>
        <w:t xml:space="preserve">Uso de infusión de flores de Manzanilla (</w:t>
      </w:r>
      <w:r w:rsidDel="00000000" w:rsidR="00000000" w:rsidRPr="00000000">
        <w:rPr>
          <w:i w:val="1"/>
          <w:iCs w:val="1"/>
          <w:rtl w:val="0"/>
        </w:rPr>
        <w:t xml:space="preserve">Matricaria Chamomilla</w:t>
      </w:r>
      <w:r w:rsidDel="00000000" w:rsidR="00000000" w:rsidRPr="00000000">
        <w:rPr>
          <w:rtl w:val="0"/>
        </w:rPr>
        <w:t xml:space="preserve">), uso de trampas atractivas de colores (amarillas y azules) con sustancias adherentes (pegajosas), producto comercial a base de neem (</w:t>
      </w:r>
      <w:r w:rsidDel="00000000" w:rsidR="00000000" w:rsidRPr="00000000">
        <w:rPr>
          <w:i w:val="1"/>
          <w:iCs w:val="1"/>
          <w:rtl w:val="0"/>
        </w:rPr>
        <w:t xml:space="preserve">Azadirachta sp.)</w:t>
      </w:r>
      <w:r w:rsidDel="00000000" w:rsidR="00000000" w:rsidRPr="00000000">
        <w:rPr>
          <w:rtl w:val="0"/>
        </w:rPr>
        <w:t xml:space="preserve"> y extracto acuoso de Paraíso (</w:t>
      </w:r>
      <w:r w:rsidDel="00000000" w:rsidR="00000000" w:rsidRPr="00000000">
        <w:rPr>
          <w:i w:val="1"/>
          <w:iCs w:val="1"/>
          <w:rtl w:val="0"/>
        </w:rPr>
        <w:t xml:space="preserve">Melia sp</w:t>
      </w:r>
      <w:r w:rsidDel="00000000" w:rsidR="00000000" w:rsidRPr="00000000">
        <w:rPr>
          <w:rtl w:val="0"/>
        </w:rPr>
        <w:t xml:space="preserve">.)</w:t>
      </w:r>
    </w:p>
    <w:p w:rsidR="00000000" w:rsidDel="00000000" w:rsidP="00000000" w:rsidRDefault="00000000" w:rsidRPr="00000000" w14:paraId="0000002B">
      <w:pPr>
        <w:spacing w:line="240" w:lineRule="auto"/>
        <w:jc w:val="both"/>
        <w:rPr/>
      </w:pPr>
      <w:r w:rsidDel="00000000" w:rsidR="00000000" w:rsidRPr="00000000">
        <w:rPr>
          <w:b w:val="1"/>
          <w:bCs w:val="1"/>
          <w:rtl w:val="0"/>
        </w:rPr>
        <w:t xml:space="preserve">4-Hormigas (</w:t>
      </w:r>
      <w:r w:rsidDel="00000000" w:rsidR="00000000" w:rsidRPr="00000000">
        <w:rPr>
          <w:i w:val="1"/>
          <w:iCs w:val="1"/>
          <w:rtl w:val="0"/>
        </w:rPr>
        <w:t xml:space="preserve">Acromirmex sp</w:t>
      </w:r>
      <w:r w:rsidDel="00000000" w:rsidR="00000000" w:rsidRPr="00000000">
        <w:rPr>
          <w:rtl w:val="0"/>
        </w:rPr>
        <w:t xml:space="preserve">.):</w:t>
      </w:r>
      <w:r w:rsidDel="00000000" w:rsidR="00000000" w:rsidRPr="00000000">
        <w:rPr>
          <w:b w:val="1"/>
          <w:bCs w:val="1"/>
          <w:rtl w:val="0"/>
        </w:rPr>
        <w:t xml:space="preserve"> </w:t>
      </w:r>
      <w:r w:rsidDel="00000000" w:rsidR="00000000" w:rsidRPr="00000000">
        <w:rPr>
          <w:rtl w:val="0"/>
        </w:rPr>
        <w:t xml:space="preserve">Dejar crecer vegetación espontánea cerca de las plantas (paisajes heterogéneos), cocimiento de aguaribay (</w:t>
      </w:r>
      <w:r w:rsidDel="00000000" w:rsidR="00000000" w:rsidRPr="00000000">
        <w:rPr>
          <w:i w:val="1"/>
          <w:iCs w:val="1"/>
          <w:rtl w:val="0"/>
        </w:rPr>
        <w:t xml:space="preserve">Schinus molle</w:t>
      </w:r>
      <w:r w:rsidDel="00000000" w:rsidR="00000000" w:rsidRPr="00000000">
        <w:rPr>
          <w:rtl w:val="0"/>
        </w:rPr>
        <w:t xml:space="preserve">), aplicación  de tierra de diatomeas ( restos de algas </w:t>
      </w:r>
      <w:r w:rsidDel="00000000" w:rsidR="00000000" w:rsidRPr="00000000">
        <w:rPr>
          <w:i w:val="1"/>
          <w:iCs w:val="1"/>
          <w:rtl w:val="0"/>
        </w:rPr>
        <w:t xml:space="preserve">Diatomeae sp.</w:t>
      </w:r>
      <w:r w:rsidDel="00000000" w:rsidR="00000000" w:rsidRPr="00000000">
        <w:rPr>
          <w:rtl w:val="0"/>
        </w:rPr>
        <w:t xml:space="preserve">) en el camino y en el nido, colocar sal granulada en la base del hormiguero, aplicación de hormiguicida natural a base del hongo Beauveria bassiana, uso de arroz partido solo o arroz partido previamente sumergido  en agua donde se agrega jugo de naranja (</w:t>
      </w:r>
      <w:r w:rsidDel="00000000" w:rsidR="00000000" w:rsidRPr="00000000">
        <w:rPr>
          <w:i w:val="1"/>
          <w:iCs w:val="1"/>
          <w:rtl w:val="0"/>
        </w:rPr>
        <w:t xml:space="preserve">Citrus sinensis</w:t>
      </w:r>
      <w:r w:rsidDel="00000000" w:rsidR="00000000" w:rsidRPr="00000000">
        <w:rPr>
          <w:rtl w:val="0"/>
        </w:rPr>
        <w:t xml:space="preserve">) como atrayente y de óxido de cobre como fungicida, colocar cáscaras de naranja (</w:t>
      </w:r>
      <w:r w:rsidDel="00000000" w:rsidR="00000000" w:rsidRPr="00000000">
        <w:rPr>
          <w:i w:val="1"/>
          <w:iCs w:val="1"/>
          <w:rtl w:val="0"/>
        </w:rPr>
        <w:t xml:space="preserve">Citrus sp.</w:t>
      </w:r>
      <w:r w:rsidDel="00000000" w:rsidR="00000000" w:rsidRPr="00000000">
        <w:rPr>
          <w:rtl w:val="0"/>
        </w:rPr>
        <w:t xml:space="preserve">) en el camino de las hormigas..</w:t>
      </w:r>
    </w:p>
    <w:p w:rsidR="00000000" w:rsidDel="00000000" w:rsidP="00000000" w:rsidRDefault="00000000" w:rsidRPr="00000000" w14:paraId="0000002C">
      <w:pPr>
        <w:spacing w:line="240" w:lineRule="auto"/>
        <w:jc w:val="both"/>
        <w:rPr>
          <w:b w:val="1"/>
          <w:bCs w:val="1"/>
          <w:i w:val="1"/>
          <w:iCs w:val="1"/>
        </w:rPr>
      </w:pPr>
      <w:r w:rsidDel="00000000" w:rsidR="00000000" w:rsidRPr="00000000">
        <w:rPr>
          <w:b w:val="1"/>
          <w:bCs w:val="1"/>
          <w:rtl w:val="0"/>
        </w:rPr>
        <w:t xml:space="preserve">5-Moscas blancas </w:t>
      </w:r>
      <w:r w:rsidDel="00000000" w:rsidR="00000000" w:rsidRPr="00000000">
        <w:rPr>
          <w:rtl w:val="0"/>
        </w:rPr>
        <w:t xml:space="preserve">(</w:t>
      </w:r>
      <w:r w:rsidDel="00000000" w:rsidR="00000000" w:rsidRPr="00000000">
        <w:rPr>
          <w:i w:val="1"/>
          <w:iCs w:val="1"/>
          <w:rtl w:val="0"/>
        </w:rPr>
        <w:t xml:space="preserve">Aleyrodidae sp.):</w:t>
      </w:r>
      <w:r w:rsidDel="00000000" w:rsidR="00000000" w:rsidRPr="00000000">
        <w:rPr>
          <w:b w:val="1"/>
          <w:bCs w:val="1"/>
          <w:rtl w:val="0"/>
        </w:rPr>
        <w:t xml:space="preserve"> </w:t>
      </w:r>
      <w:r w:rsidDel="00000000" w:rsidR="00000000" w:rsidRPr="00000000">
        <w:rPr>
          <w:rtl w:val="0"/>
        </w:rPr>
        <w:t xml:space="preserve">Eliminación del rastrojo de cultivo luego de la cosecha y antes de un nuevo trasplante o siembra (especialmente tomate y pimiento), eliminación de las hojas basales, aplicación de alcohol de ajo (</w:t>
      </w:r>
      <w:r w:rsidDel="00000000" w:rsidR="00000000" w:rsidRPr="00000000">
        <w:rPr>
          <w:i w:val="1"/>
          <w:iCs w:val="1"/>
          <w:rtl w:val="0"/>
        </w:rPr>
        <w:t xml:space="preserve">Allium sativum</w:t>
      </w:r>
      <w:r w:rsidDel="00000000" w:rsidR="00000000" w:rsidRPr="00000000">
        <w:rPr>
          <w:rtl w:val="0"/>
        </w:rPr>
        <w:t xml:space="preserve">), aplicación de producto comercial a base de neem (</w:t>
      </w:r>
      <w:r w:rsidDel="00000000" w:rsidR="00000000" w:rsidRPr="00000000">
        <w:rPr>
          <w:i w:val="1"/>
          <w:iCs w:val="1"/>
          <w:rtl w:val="0"/>
        </w:rPr>
        <w:t xml:space="preserve">Azadirachta sp.</w:t>
      </w:r>
      <w:r w:rsidDel="00000000" w:rsidR="00000000" w:rsidRPr="00000000">
        <w:rPr>
          <w:rtl w:val="0"/>
        </w:rPr>
        <w:t xml:space="preserve">), aplicación de una disolución de jabón blanco, aplicación de jabón insecticida ( sales potásicas de ácidos Grasos), aplicación de aceites vegetales comerciales, aplicación de aceites minerales comerciales, aplicación de preparados comerciales en base al hongo </w:t>
      </w:r>
      <w:r w:rsidDel="00000000" w:rsidR="00000000" w:rsidRPr="00000000">
        <w:rPr>
          <w:i w:val="1"/>
          <w:iCs w:val="1"/>
          <w:rtl w:val="0"/>
        </w:rPr>
        <w:t xml:space="preserve">Bauveria bassiana. </w:t>
      </w:r>
      <w:r w:rsidDel="00000000" w:rsidR="00000000" w:rsidRPr="00000000">
        <w:rPr>
          <w:rtl w:val="0"/>
        </w:rPr>
      </w:r>
    </w:p>
    <w:p w:rsidR="00000000" w:rsidDel="00000000" w:rsidP="00000000" w:rsidRDefault="00000000" w:rsidRPr="00000000" w14:paraId="0000002D">
      <w:pPr>
        <w:spacing w:line="240" w:lineRule="auto"/>
        <w:jc w:val="both"/>
        <w:rPr/>
      </w:pPr>
      <w:r w:rsidDel="00000000" w:rsidR="00000000" w:rsidRPr="00000000">
        <w:rPr>
          <w:b w:val="1"/>
          <w:bCs w:val="1"/>
          <w:rtl w:val="0"/>
        </w:rPr>
        <w:t xml:space="preserve">6-Oruga /polilla  de tomate </w:t>
      </w:r>
      <w:r w:rsidDel="00000000" w:rsidR="00000000" w:rsidRPr="00000000">
        <w:rPr>
          <w:rtl w:val="0"/>
        </w:rPr>
        <w:t xml:space="preserve">(</w:t>
      </w:r>
      <w:r w:rsidDel="00000000" w:rsidR="00000000" w:rsidRPr="00000000">
        <w:rPr>
          <w:i w:val="1"/>
          <w:iCs w:val="1"/>
          <w:rtl w:val="0"/>
        </w:rPr>
        <w:t xml:space="preserve">Tuta absoluta</w:t>
      </w:r>
      <w:r w:rsidDel="00000000" w:rsidR="00000000" w:rsidRPr="00000000">
        <w:rPr>
          <w:rtl w:val="0"/>
        </w:rPr>
        <w:t xml:space="preserve">):</w:t>
      </w:r>
      <w:r w:rsidDel="00000000" w:rsidR="00000000" w:rsidRPr="00000000">
        <w:rPr>
          <w:b w:val="1"/>
          <w:bCs w:val="1"/>
          <w:rtl w:val="0"/>
        </w:rPr>
        <w:t xml:space="preserve"> </w:t>
      </w:r>
      <w:r w:rsidDel="00000000" w:rsidR="00000000" w:rsidRPr="00000000">
        <w:rPr>
          <w:rtl w:val="0"/>
        </w:rPr>
        <w:t xml:space="preserve">Manejo de las plantas silvestres posibles hospederas de la polilla tales como </w:t>
      </w:r>
      <w:r w:rsidDel="00000000" w:rsidR="00000000" w:rsidRPr="00000000">
        <w:rPr>
          <w:i w:val="1"/>
          <w:iCs w:val="1"/>
          <w:rtl w:val="0"/>
        </w:rPr>
        <w:t xml:space="preserve">Solanum bonaeriensis</w:t>
      </w:r>
      <w:r w:rsidDel="00000000" w:rsidR="00000000" w:rsidRPr="00000000">
        <w:rPr>
          <w:rtl w:val="0"/>
        </w:rPr>
        <w:t xml:space="preserve">, </w:t>
      </w:r>
      <w:r w:rsidDel="00000000" w:rsidR="00000000" w:rsidRPr="00000000">
        <w:rPr>
          <w:i w:val="1"/>
          <w:iCs w:val="1"/>
          <w:rtl w:val="0"/>
        </w:rPr>
        <w:t xml:space="preserve">Solanum sisymbrifolium, Solanum nigrum, Solanum melongea</w:t>
      </w:r>
      <w:r w:rsidDel="00000000" w:rsidR="00000000" w:rsidRPr="00000000">
        <w:rPr>
          <w:rtl w:val="0"/>
        </w:rPr>
        <w:t xml:space="preserve">, incorporación del rastrojo del cultivo de tomate (</w:t>
      </w:r>
      <w:r w:rsidDel="00000000" w:rsidR="00000000" w:rsidRPr="00000000">
        <w:rPr>
          <w:i w:val="1"/>
          <w:iCs w:val="1"/>
          <w:rtl w:val="0"/>
        </w:rPr>
        <w:t xml:space="preserve">Solanum Licopersicum</w:t>
      </w:r>
      <w:r w:rsidDel="00000000" w:rsidR="00000000" w:rsidRPr="00000000">
        <w:rPr>
          <w:rtl w:val="0"/>
        </w:rPr>
        <w:t xml:space="preserve">) con una arada profunda, obtención de plantínes libres de la oruga, cultivo en almácigos protegidos por mallas de alambre tejido, utilización de trampas de luz, producto comercial a base de Neem (</w:t>
      </w:r>
      <w:r w:rsidDel="00000000" w:rsidR="00000000" w:rsidRPr="00000000">
        <w:rPr>
          <w:i w:val="1"/>
          <w:iCs w:val="1"/>
          <w:rtl w:val="0"/>
        </w:rPr>
        <w:t xml:space="preserve">Azadirachta sp.) </w:t>
      </w:r>
      <w:r w:rsidDel="00000000" w:rsidR="00000000" w:rsidRPr="00000000">
        <w:rPr>
          <w:rtl w:val="0"/>
        </w:rPr>
        <w:t xml:space="preserve">y producto comercial en base a </w:t>
      </w:r>
      <w:r w:rsidDel="00000000" w:rsidR="00000000" w:rsidRPr="00000000">
        <w:rPr>
          <w:i w:val="1"/>
          <w:iCs w:val="1"/>
          <w:rtl w:val="0"/>
        </w:rPr>
        <w:t xml:space="preserve">Bacillus turingiensis.</w:t>
      </w:r>
      <w:r w:rsidDel="00000000" w:rsidR="00000000" w:rsidRPr="00000000">
        <w:rPr>
          <w:rtl w:val="0"/>
        </w:rPr>
      </w:r>
    </w:p>
    <w:p w:rsidR="00000000" w:rsidDel="00000000" w:rsidP="00000000" w:rsidRDefault="00000000" w:rsidRPr="00000000" w14:paraId="0000002E">
      <w:pPr>
        <w:spacing w:line="240" w:lineRule="auto"/>
        <w:jc w:val="both"/>
        <w:rPr/>
      </w:pPr>
      <w:bookmarkStart w:colFirst="0" w:colLast="0" w:name="_5beehfjyemrd" w:id="3"/>
      <w:bookmarkEnd w:id="3"/>
      <w:r w:rsidDel="00000000" w:rsidR="00000000" w:rsidRPr="00000000">
        <w:rPr>
          <w:b w:val="1"/>
          <w:bCs w:val="1"/>
          <w:rtl w:val="0"/>
        </w:rPr>
        <w:t xml:space="preserve">7- Pulgones </w:t>
      </w:r>
      <w:r w:rsidDel="00000000" w:rsidR="00000000" w:rsidRPr="00000000">
        <w:rPr>
          <w:rtl w:val="0"/>
        </w:rPr>
        <w:t xml:space="preserve">(</w:t>
      </w:r>
      <w:r w:rsidDel="00000000" w:rsidR="00000000" w:rsidRPr="00000000">
        <w:rPr>
          <w:i w:val="1"/>
          <w:iCs w:val="1"/>
          <w:rtl w:val="0"/>
        </w:rPr>
        <w:t xml:space="preserve">Mysus sp</w:t>
      </w:r>
      <w:r w:rsidDel="00000000" w:rsidR="00000000" w:rsidRPr="00000000">
        <w:rPr>
          <w:rtl w:val="0"/>
        </w:rPr>
        <w:t xml:space="preserve">.):</w:t>
      </w:r>
      <w:r w:rsidDel="00000000" w:rsidR="00000000" w:rsidRPr="00000000">
        <w:rPr>
          <w:b w:val="1"/>
          <w:bCs w:val="1"/>
          <w:rtl w:val="0"/>
        </w:rPr>
        <w:t xml:space="preserve"> </w:t>
      </w:r>
      <w:r w:rsidDel="00000000" w:rsidR="00000000" w:rsidRPr="00000000">
        <w:rPr>
          <w:rtl w:val="0"/>
        </w:rPr>
        <w:t xml:space="preserve">No aplicar abonos químicos en base a nitrógeno sintético, utilización de alcohol de ajo (</w:t>
      </w:r>
      <w:r w:rsidDel="00000000" w:rsidR="00000000" w:rsidRPr="00000000">
        <w:rPr>
          <w:i w:val="1"/>
          <w:iCs w:val="1"/>
          <w:rtl w:val="0"/>
        </w:rPr>
        <w:t xml:space="preserve">Allium sativum</w:t>
      </w:r>
      <w:r w:rsidDel="00000000" w:rsidR="00000000" w:rsidRPr="00000000">
        <w:rPr>
          <w:rtl w:val="0"/>
        </w:rPr>
        <w:t xml:space="preserve">), utilización de agua jabonosa, infusión de ruda </w:t>
      </w:r>
      <w:r w:rsidDel="00000000" w:rsidR="00000000" w:rsidRPr="00000000">
        <w:rPr>
          <w:i w:val="1"/>
          <w:iCs w:val="1"/>
          <w:rtl w:val="0"/>
        </w:rPr>
        <w:t xml:space="preserve">(Ruta chalepensis</w:t>
      </w:r>
      <w:r w:rsidDel="00000000" w:rsidR="00000000" w:rsidRPr="00000000">
        <w:rPr>
          <w:rtl w:val="0"/>
        </w:rPr>
        <w:t xml:space="preserve">), infusión de ajenjo (</w:t>
      </w:r>
      <w:r w:rsidDel="00000000" w:rsidR="00000000" w:rsidRPr="00000000">
        <w:rPr>
          <w:i w:val="1"/>
          <w:iCs w:val="1"/>
          <w:rtl w:val="0"/>
        </w:rPr>
        <w:t xml:space="preserve">Artemisia absinthium</w:t>
      </w:r>
      <w:r w:rsidDel="00000000" w:rsidR="00000000" w:rsidRPr="00000000">
        <w:rPr>
          <w:rtl w:val="0"/>
        </w:rPr>
        <w:t xml:space="preserve">), Jugo de cebolla </w:t>
      </w:r>
      <w:r w:rsidDel="00000000" w:rsidR="00000000" w:rsidRPr="00000000">
        <w:rPr>
          <w:i w:val="1"/>
          <w:iCs w:val="1"/>
          <w:rtl w:val="0"/>
        </w:rPr>
        <w:t xml:space="preserve">(Allium cepa)</w:t>
      </w:r>
      <w:r w:rsidDel="00000000" w:rsidR="00000000" w:rsidRPr="00000000">
        <w:rPr>
          <w:rtl w:val="0"/>
        </w:rPr>
        <w:t xml:space="preserve"> (exprimir 7 cebollas y mezclar con 4 litros de agua y una cucharadita de aceite emulsionable), uso de preparados con Ortiga (</w:t>
      </w:r>
      <w:r w:rsidDel="00000000" w:rsidR="00000000" w:rsidRPr="00000000">
        <w:rPr>
          <w:i w:val="1"/>
          <w:iCs w:val="1"/>
          <w:rtl w:val="0"/>
        </w:rPr>
        <w:t xml:space="preserve">Urtica sp.),</w:t>
      </w:r>
      <w:r w:rsidDel="00000000" w:rsidR="00000000" w:rsidRPr="00000000">
        <w:rPr>
          <w:rtl w:val="0"/>
        </w:rPr>
        <w:t xml:space="preserve"> uso de alcohol de aji </w:t>
      </w:r>
      <w:r w:rsidDel="00000000" w:rsidR="00000000" w:rsidRPr="00000000">
        <w:rPr>
          <w:i w:val="1"/>
          <w:iCs w:val="1"/>
          <w:rtl w:val="0"/>
        </w:rPr>
        <w:t xml:space="preserve">(Capsicum annuum</w:t>
      </w:r>
      <w:r w:rsidDel="00000000" w:rsidR="00000000" w:rsidRPr="00000000">
        <w:rPr>
          <w:rtl w:val="0"/>
        </w:rPr>
        <w:t xml:space="preserve">), uso de orina de vaca diluida al 1 %, uso de extracto casero acuoso de paraíso (</w:t>
      </w:r>
      <w:r w:rsidDel="00000000" w:rsidR="00000000" w:rsidRPr="00000000">
        <w:rPr>
          <w:i w:val="1"/>
          <w:iCs w:val="1"/>
          <w:rtl w:val="0"/>
        </w:rPr>
        <w:t xml:space="preserve">Melia azedarach</w:t>
      </w:r>
      <w:r w:rsidDel="00000000" w:rsidR="00000000" w:rsidRPr="00000000">
        <w:rPr>
          <w:rtl w:val="0"/>
        </w:rPr>
        <w:t xml:space="preserve">), utilización de jabón potásico.</w:t>
      </w:r>
    </w:p>
    <w:p w:rsidR="00000000" w:rsidDel="00000000" w:rsidP="00000000" w:rsidRDefault="00000000" w:rsidRPr="00000000" w14:paraId="0000002F">
      <w:pPr>
        <w:spacing w:line="240" w:lineRule="auto"/>
        <w:jc w:val="both"/>
        <w:rPr/>
      </w:pPr>
      <w:r w:rsidDel="00000000" w:rsidR="00000000" w:rsidRPr="00000000">
        <w:rPr>
          <w:b w:val="1"/>
          <w:bCs w:val="1"/>
          <w:rtl w:val="0"/>
        </w:rPr>
        <w:t xml:space="preserve">8-Trips </w:t>
      </w:r>
      <w:r w:rsidDel="00000000" w:rsidR="00000000" w:rsidRPr="00000000">
        <w:rPr>
          <w:rtl w:val="0"/>
        </w:rPr>
        <w:t xml:space="preserve">(</w:t>
      </w:r>
      <w:r w:rsidDel="00000000" w:rsidR="00000000" w:rsidRPr="00000000">
        <w:rPr>
          <w:i w:val="1"/>
          <w:iCs w:val="1"/>
          <w:rtl w:val="0"/>
        </w:rPr>
        <w:t xml:space="preserve">Thysanoptera sp</w:t>
      </w:r>
      <w:r w:rsidDel="00000000" w:rsidR="00000000" w:rsidRPr="00000000">
        <w:rPr>
          <w:rtl w:val="0"/>
        </w:rPr>
        <w:t xml:space="preserve">.);</w:t>
      </w:r>
      <w:r w:rsidDel="00000000" w:rsidR="00000000" w:rsidRPr="00000000">
        <w:rPr>
          <w:b w:val="1"/>
          <w:bCs w:val="1"/>
          <w:rtl w:val="0"/>
        </w:rPr>
        <w:t xml:space="preserve"> </w:t>
      </w:r>
      <w:r w:rsidDel="00000000" w:rsidR="00000000" w:rsidRPr="00000000">
        <w:rPr>
          <w:rtl w:val="0"/>
        </w:rPr>
        <w:t xml:space="preserve">Enterrado de los rastrojos, Uso de trampas adhesivas de color azul, amarillo  o blanco colgadas de los invernáculos mantenidas por encima del cultivo, uso de Jabón potásico, uso de extracto casero acuoso de paraíso (Melia azedarach), aplicación de producto comercial en base a Neem (</w:t>
      </w:r>
      <w:r w:rsidDel="00000000" w:rsidR="00000000" w:rsidRPr="00000000">
        <w:rPr>
          <w:i w:val="1"/>
          <w:iCs w:val="1"/>
          <w:rtl w:val="0"/>
        </w:rPr>
        <w:t xml:space="preserve">Azadirachta sp) </w:t>
      </w:r>
      <w:r w:rsidDel="00000000" w:rsidR="00000000" w:rsidRPr="00000000">
        <w:rPr>
          <w:rtl w:val="0"/>
        </w:rPr>
        <w:t xml:space="preserve"> y Uso de Mezcla sulfocálcica.</w:t>
      </w:r>
    </w:p>
    <w:p w:rsidR="00000000" w:rsidDel="00000000" w:rsidP="00000000" w:rsidRDefault="00000000" w:rsidRPr="00000000" w14:paraId="00000030">
      <w:pPr>
        <w:spacing w:line="240" w:lineRule="auto"/>
        <w:jc w:val="both"/>
        <w:rPr>
          <w:b w:val="1"/>
          <w:bCs w:val="1"/>
        </w:rPr>
      </w:pPr>
      <w:r w:rsidDel="00000000" w:rsidR="00000000" w:rsidRPr="00000000">
        <w:rPr>
          <w:b w:val="1"/>
          <w:bCs w:val="1"/>
          <w:rtl w:val="0"/>
        </w:rPr>
        <w:t xml:space="preserve">9-Nematodos </w:t>
      </w:r>
      <w:r w:rsidDel="00000000" w:rsidR="00000000" w:rsidRPr="00000000">
        <w:rPr>
          <w:rtl w:val="0"/>
        </w:rPr>
        <w:t xml:space="preserve">(</w:t>
      </w:r>
      <w:r w:rsidDel="00000000" w:rsidR="00000000" w:rsidRPr="00000000">
        <w:rPr>
          <w:i w:val="1"/>
          <w:iCs w:val="1"/>
          <w:rtl w:val="0"/>
        </w:rPr>
        <w:t xml:space="preserve">Meloidogyne sp</w:t>
      </w:r>
      <w:r w:rsidDel="00000000" w:rsidR="00000000" w:rsidRPr="00000000">
        <w:rPr>
          <w:rtl w:val="0"/>
        </w:rPr>
        <w:t xml:space="preserve">.); Asociaciones con plantas que exudan sustancias por sus raíces que repelen a los nematodos (alelopatía) como las caléndulas (</w:t>
      </w:r>
      <w:r w:rsidDel="00000000" w:rsidR="00000000" w:rsidRPr="00000000">
        <w:rPr>
          <w:i w:val="1"/>
          <w:iCs w:val="1"/>
          <w:rtl w:val="0"/>
        </w:rPr>
        <w:t xml:space="preserve">Calendula Officinalis</w:t>
      </w:r>
      <w:r w:rsidDel="00000000" w:rsidR="00000000" w:rsidRPr="00000000">
        <w:rPr>
          <w:rtl w:val="0"/>
        </w:rPr>
        <w:t xml:space="preserve">), Sésamo (</w:t>
      </w:r>
      <w:r w:rsidDel="00000000" w:rsidR="00000000" w:rsidRPr="00000000">
        <w:rPr>
          <w:i w:val="1"/>
          <w:iCs w:val="1"/>
          <w:rtl w:val="0"/>
        </w:rPr>
        <w:t xml:space="preserve">Sesamun sp</w:t>
      </w:r>
      <w:r w:rsidDel="00000000" w:rsidR="00000000" w:rsidRPr="00000000">
        <w:rPr>
          <w:rtl w:val="0"/>
        </w:rPr>
        <w:t xml:space="preserve">.), </w:t>
      </w:r>
      <w:r w:rsidDel="00000000" w:rsidR="00000000" w:rsidRPr="00000000">
        <w:rPr>
          <w:i w:val="1"/>
          <w:iCs w:val="1"/>
          <w:rtl w:val="0"/>
        </w:rPr>
        <w:t xml:space="preserve">Crotalaria sp</w:t>
      </w:r>
      <w:r w:rsidDel="00000000" w:rsidR="00000000" w:rsidRPr="00000000">
        <w:rPr>
          <w:rtl w:val="0"/>
        </w:rPr>
        <w:t xml:space="preserve">. y </w:t>
      </w:r>
      <w:r w:rsidDel="00000000" w:rsidR="00000000" w:rsidRPr="00000000">
        <w:rPr>
          <w:i w:val="1"/>
          <w:iCs w:val="1"/>
          <w:rtl w:val="0"/>
        </w:rPr>
        <w:t xml:space="preserve">Tagetes minuta,</w:t>
      </w:r>
      <w:r w:rsidDel="00000000" w:rsidR="00000000" w:rsidRPr="00000000">
        <w:rPr>
          <w:rtl w:val="0"/>
        </w:rPr>
        <w:t xml:space="preserve"> rotaciones con pasturas, rotaciones con plantas menos susceptibles como la mostaza (</w:t>
      </w:r>
      <w:r w:rsidDel="00000000" w:rsidR="00000000" w:rsidRPr="00000000">
        <w:rPr>
          <w:i w:val="1"/>
          <w:iCs w:val="1"/>
          <w:rtl w:val="0"/>
        </w:rPr>
        <w:t xml:space="preserve">Brassica alba</w:t>
      </w:r>
      <w:r w:rsidDel="00000000" w:rsidR="00000000" w:rsidRPr="00000000">
        <w:rPr>
          <w:rtl w:val="0"/>
        </w:rPr>
        <w:t xml:space="preserve">),  biofumigación, </w:t>
      </w:r>
      <w:r w:rsidDel="00000000" w:rsidR="00000000" w:rsidRPr="00000000">
        <w:rPr>
          <w:rtl w:val="0"/>
        </w:rPr>
      </w:r>
    </w:p>
    <w:p w:rsidR="00000000" w:rsidDel="00000000" w:rsidP="00000000" w:rsidRDefault="00000000" w:rsidRPr="00000000" w14:paraId="00000031">
      <w:pPr>
        <w:spacing w:line="240" w:lineRule="auto"/>
        <w:jc w:val="both"/>
        <w:rPr/>
      </w:pPr>
      <w:r w:rsidDel="00000000" w:rsidR="00000000" w:rsidRPr="00000000">
        <w:rPr>
          <w:b w:val="1"/>
          <w:bCs w:val="1"/>
          <w:rtl w:val="0"/>
        </w:rPr>
        <w:t xml:space="preserve">10-Ácaros </w:t>
      </w:r>
      <w:r w:rsidDel="00000000" w:rsidR="00000000" w:rsidRPr="00000000">
        <w:rPr>
          <w:i w:val="1"/>
          <w:iCs w:val="1"/>
          <w:rtl w:val="0"/>
        </w:rPr>
        <w:t xml:space="preserve">(Vasates lycopersici)</w:t>
      </w:r>
      <w:r w:rsidDel="00000000" w:rsidR="00000000" w:rsidRPr="00000000">
        <w:rPr>
          <w:rtl w:val="0"/>
        </w:rPr>
        <w:t xml:space="preserve">:</w:t>
      </w:r>
      <w:r w:rsidDel="00000000" w:rsidR="00000000" w:rsidRPr="00000000">
        <w:rPr>
          <w:b w:val="1"/>
          <w:bCs w:val="1"/>
          <w:rtl w:val="0"/>
        </w:rPr>
        <w:t xml:space="preserve"> </w:t>
      </w:r>
      <w:r w:rsidDel="00000000" w:rsidR="00000000" w:rsidRPr="00000000">
        <w:rPr>
          <w:rtl w:val="0"/>
        </w:rPr>
        <w:t xml:space="preserve">Rotaciones con pasturas y/o hortalizas menos susceptibles al ataque de ácaros, enterrado de los rastrojos, asociaciones con plantas aromáticas y de la familia de las liliáceas: ajo (</w:t>
      </w:r>
      <w:r w:rsidDel="00000000" w:rsidR="00000000" w:rsidRPr="00000000">
        <w:rPr>
          <w:i w:val="1"/>
          <w:iCs w:val="1"/>
          <w:rtl w:val="0"/>
        </w:rPr>
        <w:t xml:space="preserve">Allium sativum</w:t>
      </w:r>
      <w:r w:rsidDel="00000000" w:rsidR="00000000" w:rsidRPr="00000000">
        <w:rPr>
          <w:rtl w:val="0"/>
        </w:rPr>
        <w:t xml:space="preserve">), puerro (</w:t>
      </w:r>
      <w:r w:rsidDel="00000000" w:rsidR="00000000" w:rsidRPr="00000000">
        <w:rPr>
          <w:i w:val="1"/>
          <w:iCs w:val="1"/>
          <w:rtl w:val="0"/>
        </w:rPr>
        <w:t xml:space="preserve">Allium porrum)</w:t>
      </w:r>
      <w:r w:rsidDel="00000000" w:rsidR="00000000" w:rsidRPr="00000000">
        <w:rPr>
          <w:rtl w:val="0"/>
        </w:rPr>
        <w:t xml:space="preserve"> y cebolla </w:t>
      </w:r>
      <w:r w:rsidDel="00000000" w:rsidR="00000000" w:rsidRPr="00000000">
        <w:rPr>
          <w:i w:val="1"/>
          <w:iCs w:val="1"/>
          <w:rtl w:val="0"/>
        </w:rPr>
        <w:t xml:space="preserve">(Allium cepa), </w:t>
      </w:r>
      <w:r w:rsidDel="00000000" w:rsidR="00000000" w:rsidRPr="00000000">
        <w:rPr>
          <w:rtl w:val="0"/>
        </w:rPr>
        <w:t xml:space="preserve">pulverizaciones con agua sola en épocas de sequía, pulverizaciones con azufre en polvo mojable y pulverizaciones de producto comercial a base de Neem (</w:t>
      </w:r>
      <w:r w:rsidDel="00000000" w:rsidR="00000000" w:rsidRPr="00000000">
        <w:rPr>
          <w:i w:val="1"/>
          <w:iCs w:val="1"/>
          <w:rtl w:val="0"/>
        </w:rPr>
        <w:t xml:space="preserve">Azadirachta sp). </w:t>
      </w:r>
      <w:r w:rsidDel="00000000" w:rsidR="00000000" w:rsidRPr="00000000">
        <w:rPr>
          <w:rtl w:val="0"/>
        </w:rPr>
        <w:t xml:space="preserve"> </w:t>
      </w:r>
    </w:p>
    <w:p w:rsidR="00000000" w:rsidDel="00000000" w:rsidP="00000000" w:rsidRDefault="00000000" w:rsidRPr="00000000" w14:paraId="00000032">
      <w:pPr>
        <w:spacing w:line="240" w:lineRule="auto"/>
        <w:jc w:val="both"/>
        <w:rPr>
          <w:i w:val="1"/>
          <w:iCs w:val="1"/>
        </w:rPr>
      </w:pPr>
      <w:bookmarkStart w:colFirst="0" w:colLast="0" w:name="_1qhwbx1sy1z2" w:id="4"/>
      <w:bookmarkEnd w:id="4"/>
      <w:r w:rsidDel="00000000" w:rsidR="00000000" w:rsidRPr="00000000">
        <w:rPr>
          <w:b w:val="1"/>
          <w:bCs w:val="1"/>
          <w:rtl w:val="0"/>
        </w:rPr>
        <w:t xml:space="preserve">11-Moscas blancas </w:t>
      </w:r>
      <w:r w:rsidDel="00000000" w:rsidR="00000000" w:rsidRPr="00000000">
        <w:rPr>
          <w:rtl w:val="0"/>
        </w:rPr>
        <w:t xml:space="preserve">(</w:t>
      </w:r>
      <w:r w:rsidDel="00000000" w:rsidR="00000000" w:rsidRPr="00000000">
        <w:rPr>
          <w:i w:val="1"/>
          <w:iCs w:val="1"/>
          <w:rtl w:val="0"/>
        </w:rPr>
        <w:t xml:space="preserve">Bemisia tabaci): </w:t>
      </w:r>
      <w:r w:rsidDel="00000000" w:rsidR="00000000" w:rsidRPr="00000000">
        <w:rPr>
          <w:rtl w:val="0"/>
        </w:rPr>
        <w:t xml:space="preserve">Uso de trampas de adhesivas de color amarillo o naranja colgadas de los invernáculos mantenidas por encima del cultivo. Las trampas son de plástico de 10 cm por 20 cm de lado, aplicación de jabón potásico, aplicación de alcohol de ajo (</w:t>
      </w:r>
      <w:r w:rsidDel="00000000" w:rsidR="00000000" w:rsidRPr="00000000">
        <w:rPr>
          <w:i w:val="1"/>
          <w:iCs w:val="1"/>
          <w:rtl w:val="0"/>
        </w:rPr>
        <w:t xml:space="preserve">Allium sativum</w:t>
      </w:r>
      <w:r w:rsidDel="00000000" w:rsidR="00000000" w:rsidRPr="00000000">
        <w:rPr>
          <w:rtl w:val="0"/>
        </w:rPr>
        <w:t xml:space="preserve">), aplicación de cocimiento de cola de caballo </w:t>
      </w:r>
      <w:r w:rsidDel="00000000" w:rsidR="00000000" w:rsidRPr="00000000">
        <w:rPr>
          <w:i w:val="1"/>
          <w:iCs w:val="1"/>
          <w:rtl w:val="0"/>
        </w:rPr>
        <w:t xml:space="preserve">(Equisetum sp</w:t>
      </w:r>
      <w:r w:rsidDel="00000000" w:rsidR="00000000" w:rsidRPr="00000000">
        <w:rPr>
          <w:rtl w:val="0"/>
        </w:rPr>
        <w:t xml:space="preserve">) y aplicación de alcohol de ruda </w:t>
      </w:r>
      <w:r w:rsidDel="00000000" w:rsidR="00000000" w:rsidRPr="00000000">
        <w:rPr>
          <w:i w:val="1"/>
          <w:iCs w:val="1"/>
          <w:rtl w:val="0"/>
        </w:rPr>
        <w:t xml:space="preserve">(Ruta sp.).</w:t>
      </w:r>
    </w:p>
    <w:p w:rsidR="00000000" w:rsidDel="00000000" w:rsidP="00000000" w:rsidRDefault="00000000" w:rsidRPr="00000000" w14:paraId="00000033">
      <w:pPr>
        <w:spacing w:line="240" w:lineRule="auto"/>
        <w:jc w:val="both"/>
        <w:rPr/>
      </w:pPr>
      <w:r w:rsidDel="00000000" w:rsidR="00000000" w:rsidRPr="00000000">
        <w:rPr>
          <w:b w:val="1"/>
          <w:bCs w:val="1"/>
          <w:rtl w:val="0"/>
        </w:rPr>
        <w:t xml:space="preserve">12-Bicho moro </w:t>
      </w:r>
      <w:r w:rsidDel="00000000" w:rsidR="00000000" w:rsidRPr="00000000">
        <w:rPr>
          <w:rtl w:val="0"/>
        </w:rPr>
        <w:t xml:space="preserve">(</w:t>
      </w:r>
      <w:r w:rsidDel="00000000" w:rsidR="00000000" w:rsidRPr="00000000">
        <w:rPr>
          <w:i w:val="1"/>
          <w:iCs w:val="1"/>
          <w:rtl w:val="0"/>
        </w:rPr>
        <w:t xml:space="preserve">Epicauta adspersa);</w:t>
      </w:r>
      <w:r w:rsidDel="00000000" w:rsidR="00000000" w:rsidRPr="00000000">
        <w:rPr>
          <w:b w:val="1"/>
          <w:bCs w:val="1"/>
          <w:rtl w:val="0"/>
        </w:rPr>
        <w:t xml:space="preserve"> </w:t>
      </w:r>
      <w:r w:rsidDel="00000000" w:rsidR="00000000" w:rsidRPr="00000000">
        <w:rPr>
          <w:rtl w:val="0"/>
        </w:rPr>
        <w:t xml:space="preserve">Uso de plantas trampas como el yuyo colorado (</w:t>
      </w:r>
      <w:r w:rsidDel="00000000" w:rsidR="00000000" w:rsidRPr="00000000">
        <w:rPr>
          <w:i w:val="1"/>
          <w:iCs w:val="1"/>
          <w:rtl w:val="0"/>
        </w:rPr>
        <w:t xml:space="preserve">Quenopidium albun</w:t>
      </w:r>
      <w:r w:rsidDel="00000000" w:rsidR="00000000" w:rsidRPr="00000000">
        <w:rPr>
          <w:rtl w:val="0"/>
        </w:rPr>
        <w:t xml:space="preserve">). Se dejan crecer libremente cerca del cultivo de tomate </w:t>
      </w:r>
      <w:r w:rsidDel="00000000" w:rsidR="00000000" w:rsidRPr="00000000">
        <w:rPr>
          <w:i w:val="1"/>
          <w:iCs w:val="1"/>
          <w:rtl w:val="0"/>
        </w:rPr>
        <w:t xml:space="preserve">(Solanum lycopersicon</w:t>
      </w:r>
      <w:r w:rsidDel="00000000" w:rsidR="00000000" w:rsidRPr="00000000">
        <w:rPr>
          <w:rtl w:val="0"/>
        </w:rPr>
        <w:t xml:space="preserve">) y ají  </w:t>
      </w:r>
      <w:r w:rsidDel="00000000" w:rsidR="00000000" w:rsidRPr="00000000">
        <w:rPr>
          <w:i w:val="1"/>
          <w:iCs w:val="1"/>
          <w:rtl w:val="0"/>
        </w:rPr>
        <w:t xml:space="preserve">(Capsicum annuum)</w:t>
      </w:r>
      <w:r w:rsidDel="00000000" w:rsidR="00000000" w:rsidRPr="00000000">
        <w:rPr>
          <w:rtl w:val="0"/>
        </w:rPr>
        <w:t xml:space="preserve">  y uso de preparados en base a ají picante</w:t>
      </w:r>
      <w:r w:rsidDel="00000000" w:rsidR="00000000" w:rsidRPr="00000000">
        <w:rPr>
          <w:i w:val="1"/>
          <w:iCs w:val="1"/>
          <w:rtl w:val="0"/>
        </w:rPr>
        <w:t xml:space="preserve"> Capsicum sp.)</w:t>
      </w:r>
      <w:r w:rsidDel="00000000" w:rsidR="00000000" w:rsidRPr="00000000">
        <w:rPr>
          <w:rtl w:val="0"/>
        </w:rPr>
        <w:t xml:space="preserve"> y ajo</w:t>
      </w:r>
      <w:r w:rsidDel="00000000" w:rsidR="00000000" w:rsidRPr="00000000">
        <w:rPr>
          <w:i w:val="1"/>
          <w:iCs w:val="1"/>
          <w:rtl w:val="0"/>
        </w:rPr>
        <w:t xml:space="preserve"> (Allium sativum</w:t>
      </w:r>
      <w:r w:rsidDel="00000000" w:rsidR="00000000" w:rsidRPr="00000000">
        <w:rPr>
          <w:rtl w:val="0"/>
        </w:rPr>
        <w:t xml:space="preserve">).</w:t>
      </w:r>
    </w:p>
    <w:p w:rsidR="00000000" w:rsidDel="00000000" w:rsidP="00000000" w:rsidRDefault="00000000" w:rsidRPr="00000000" w14:paraId="00000034">
      <w:pPr>
        <w:spacing w:line="240" w:lineRule="auto"/>
        <w:jc w:val="both"/>
        <w:rPr>
          <w:rFonts w:ascii="Times New Roman" w:cs="Times New Roman" w:eastAsia="Times New Roman" w:hAnsi="Times New Roman"/>
          <w:sz w:val="24"/>
          <w:szCs w:val="24"/>
        </w:rPr>
      </w:pPr>
      <w:r w:rsidDel="00000000" w:rsidR="00000000" w:rsidRPr="00000000">
        <w:rPr>
          <w:b w:val="1"/>
          <w:bCs w:val="1"/>
          <w:color w:val="000000"/>
          <w:rtl w:val="0"/>
        </w:rPr>
        <w:t xml:space="preserve">Conclusiones</w:t>
      </w: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Las estrategias y prácticas adoptadas y descriptas en este trabajo nos posibilitan afirmar que es posible producir bajo el paradigma agroecológico. Es factible, viable y sustentable (desde el punto de vista de recrear las condiciones de existencia), aun con las limitaciones impuestas por los vínculos legales existentes con la tierra, diagramar, planificar y llevar adelante unidades productivas basadas en la diversidad bióloga y el manejo integral de los suelos. También se utilizan una diversidad de preparados basados en plantas naturales y   cultivadas así como en sales minerales y biopreparados comerciales.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bookmarkStart w:colFirst="0" w:colLast="0" w:name="_xj9j8ijteuah" w:id="5"/>
      <w:bookmarkEnd w:id="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Dentro del proceso los productores/as buscan recuperar, recrear y compartir saberes así como vínculos y relaciones con el ambiente a partir de respetar los ciclos relaciones y flujos naturales pero además restablecer relaciones con otros actores sociales como los trabajadores /as y los consumidores. </w:t>
      </w:r>
      <w:r w:rsidDel="00000000" w:rsidR="00000000" w:rsidRPr="00000000">
        <w:rPr>
          <w:rtl w:val="0"/>
        </w:rPr>
      </w:r>
    </w:p>
    <w:p w:rsidR="00000000" w:rsidDel="00000000" w:rsidP="00000000" w:rsidRDefault="00000000" w:rsidRPr="00000000" w14:paraId="00000037">
      <w:pPr>
        <w:spacing w:line="240" w:lineRule="auto"/>
        <w:jc w:val="both"/>
        <w:rPr>
          <w:rFonts w:ascii="Times New Roman" w:cs="Times New Roman" w:eastAsia="Times New Roman" w:hAnsi="Times New Roman"/>
          <w:sz w:val="24"/>
          <w:szCs w:val="24"/>
        </w:rPr>
      </w:pPr>
      <w:r w:rsidDel="00000000" w:rsidR="00000000" w:rsidRPr="00000000">
        <w:rPr>
          <w:b w:val="1"/>
          <w:bCs w:val="1"/>
          <w:color w:val="000000"/>
          <w:rtl w:val="0"/>
        </w:rPr>
        <w:t xml:space="preserve">Referencias bibliográficas</w:t>
      </w:r>
      <w:r w:rsidDel="00000000" w:rsidR="00000000" w:rsidRPr="00000000">
        <w:rPr>
          <w:rtl w:val="0"/>
        </w:rPr>
      </w:r>
    </w:p>
    <w:p w:rsidR="00000000" w:rsidDel="00000000" w:rsidP="00000000" w:rsidRDefault="00000000" w:rsidRPr="00000000" w14:paraId="00000038">
      <w:pPr>
        <w:spacing w:line="240" w:lineRule="auto"/>
        <w:ind w:left="654" w:hanging="654"/>
        <w:rPr>
          <w:sz w:val="20"/>
          <w:szCs w:val="20"/>
        </w:rPr>
      </w:pPr>
      <w:r w:rsidDel="00000000" w:rsidR="00000000" w:rsidRPr="00000000">
        <w:rPr>
          <w:sz w:val="20"/>
          <w:szCs w:val="20"/>
          <w:rtl w:val="0"/>
        </w:rPr>
        <w:t xml:space="preserve">Mitidieri, M. y Corbino, G (2012). </w:t>
      </w:r>
      <w:r w:rsidDel="00000000" w:rsidR="00000000" w:rsidRPr="00000000">
        <w:rPr>
          <w:i w:val="1"/>
          <w:iCs w:val="1"/>
          <w:sz w:val="20"/>
          <w:szCs w:val="20"/>
          <w:rtl w:val="0"/>
        </w:rPr>
        <w:t xml:space="preserve">Manual de horticultura periurbana</w:t>
      </w:r>
      <w:r w:rsidDel="00000000" w:rsidR="00000000" w:rsidRPr="00000000">
        <w:rPr>
          <w:sz w:val="20"/>
          <w:szCs w:val="20"/>
          <w:rtl w:val="0"/>
        </w:rPr>
        <w:t xml:space="preserve">. Buenos Aires. Ediciones INTA. </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654" w:right="0" w:hanging="654"/>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Hernández Sampieri, R. y Fernández Collado, C. (2006). </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Metodología de la investigación</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Ciudad de México. Mc Graw Hill</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654" w:right="0" w:hanging="654"/>
        <w:jc w:val="left"/>
        <w:rPr>
          <w:rFonts w:ascii="Arial" w:cs="Arial" w:eastAsia="Arial" w:hAnsi="Arial"/>
          <w:b w:val="0"/>
          <w:bCs w:val="0"/>
          <w:i w:val="1"/>
          <w:iCs w:val="1"/>
          <w:smallCaps w:val="0"/>
          <w:strike w:val="0"/>
          <w:color w:val="000000"/>
          <w:sz w:val="20"/>
          <w:szCs w:val="20"/>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Souza Casadinho, J. (2021). </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Informe sobre la situación de los plaguicidas altamente</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654" w:right="0" w:hanging="654"/>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peligrosos (PAP) y las estrategias sobre producción sustentable en la Argentina.</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w:t>
      </w:r>
      <w:hyperlink r:id="rId6">
        <w:r w:rsidDel="00000000" w:rsidR="00000000" w:rsidRPr="00000000">
          <w:rPr>
            <w:rFonts w:ascii="Arial" w:cs="Arial" w:eastAsia="Arial" w:hAnsi="Arial"/>
            <w:b w:val="0"/>
            <w:bCs w:val="0"/>
            <w:i w:val="0"/>
            <w:iCs w:val="0"/>
            <w:smallCaps w:val="0"/>
            <w:strike w:val="0"/>
            <w:color w:val="0563c1"/>
            <w:sz w:val="20"/>
            <w:szCs w:val="20"/>
            <w:u w:val="single"/>
            <w:shd w:fill="auto" w:val="clear"/>
            <w:vertAlign w:val="baseline"/>
            <w:rtl w:val="0"/>
          </w:rPr>
          <w:t xml:space="preserve">https://ipen.org/sites/default/files/documents/cetaar_anexo_d_informe_pap_15_junio_2021.pdf</w:t>
        </w:r>
      </w:hyperlink>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654" w:right="0" w:hanging="654"/>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Souza Casadinho, J. (2025). Argentina. La puja entre actores en el marco de los agronegocios</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654" w:right="0" w:hanging="654"/>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y la defensa de la soberanía alimentaria. En P. Lucero, L. Soliz Tito, O. Bazoberry Chali. </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Plaguicidas químicos de uso agrícola en países y territorios de la CAN y el Mercosur </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(Págs. 59-116).</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La Paz: Instituto para el Desarrollo Rural de Sudamérica.</w:t>
      </w:r>
      <w:r w:rsidDel="00000000" w:rsidR="00000000" w:rsidRPr="00000000">
        <w:rPr>
          <w:rtl w:val="0"/>
        </w:rPr>
      </w:r>
    </w:p>
    <w:sectPr>
      <w:headerReference r:id="rId7" w:type="default"/>
      <w:footerReference r:id="rId8" w:type="default"/>
      <w:pgSz w:h="16838" w:w="11906" w:orient="portrait"/>
      <w:pgMar w:bottom="1418" w:top="1418" w:left="1418" w:right="1418"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pBdr>
        <w:top w:color="4472c4" w:space="10" w:sz="6" w:val="single"/>
      </w:pBdr>
      <w:tabs>
        <w:tab w:val="center" w:leader="none" w:pos="4252"/>
        <w:tab w:val="right" w:leader="none" w:pos="8504"/>
      </w:tabs>
      <w:spacing w:before="240" w:line="240" w:lineRule="auto"/>
      <w:jc w:val="center"/>
      <w:rPr>
        <w:color w:val="538135"/>
      </w:rPr>
    </w:pPr>
    <w:r w:rsidDel="00000000" w:rsidR="00000000" w:rsidRPr="00000000">
      <w:rPr>
        <w:color w:val="538135"/>
        <w:rtl w:val="0"/>
      </w:rPr>
      <w:t xml:space="preserve">San Salvador de Jujuy– 12 a 14 de noviembre de 2025</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-12698</wp:posOffset>
              </wp:positionH>
              <wp:positionV relativeFrom="paragraph">
                <wp:posOffset>139700</wp:posOffset>
              </wp:positionV>
              <wp:extent cx="5785223" cy="12700"/>
              <wp:effectExtent b="0" l="0" r="0" t="0"/>
              <wp:wrapNone/>
              <wp:docPr id="2" name=""/>
              <a:graphic>
                <a:graphicData uri="http://schemas.microsoft.com/office/word/2010/wordprocessingShape">
                  <wps:wsp>
                    <wps:cNvCnPr/>
                    <wps:spPr>
                      <a:xfrm>
                        <a:off x="0" y="0"/>
                        <a:ext cx="5785223" cy="0"/>
                      </a:xfrm>
                      <a:prstGeom prst="straightConnector1">
                        <a:avLst/>
                      </a:prstGeom>
                      <a:noFill/>
                      <a:ln cap="flat" cmpd="sng" w="19050">
                        <a:solidFill>
                          <a:schemeClr val="accent6"/>
                        </a:solidFill>
                        <a:prstDash val="solid"/>
                        <a:miter lim="800000"/>
                        <a:headEnd len="sm" w="sm" type="none"/>
                        <a:tailEnd len="sm" w="sm" type="none"/>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-12698</wp:posOffset>
              </wp:positionH>
              <wp:positionV relativeFrom="paragraph">
                <wp:posOffset>139700</wp:posOffset>
              </wp:positionV>
              <wp:extent cx="5785223" cy="12700"/>
              <wp:effectExtent b="0" l="0" r="0" t="0"/>
              <wp:wrapNone/>
              <wp:docPr id="2" name="image4.png"/>
              <a:graphic>
                <a:graphicData uri="http://schemas.openxmlformats.org/drawingml/2006/picture">
                  <pic:pic>
                    <pic:nvPicPr>
                      <pic:cNvPr id="0" name="image4.png"/>
                      <pic:cNvPicPr preferRelativeResize="0"/>
                    </pic:nvPicPr>
                    <pic:blipFill>
                      <a:blip r:embed="rId1"/>
                      <a:srcRect b="0" l="0" r="0" t="0"/>
                      <a:stretch>
                        <a:fillRect/>
                      </a:stretch>
                    </pic:blipFill>
                    <pic:spPr>
                      <a:xfrm>
                        <a:off x="0" y="0"/>
                        <a:ext cx="5785223"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-12698</wp:posOffset>
              </wp:positionH>
              <wp:positionV relativeFrom="paragraph">
                <wp:posOffset>139700</wp:posOffset>
              </wp:positionV>
              <wp:extent cx="5785223" cy="12700"/>
              <wp:effectExtent b="0" l="0" r="0" t="0"/>
              <wp:wrapNone/>
              <wp:docPr id="1" name=""/>
              <a:graphic>
                <a:graphicData uri="http://schemas.microsoft.com/office/word/2010/wordprocessingShape">
                  <wps:wsp>
                    <wps:cNvCnPr/>
                    <wps:spPr>
                      <a:xfrm>
                        <a:off x="0" y="0"/>
                        <a:ext cx="5785223" cy="0"/>
                      </a:xfrm>
                      <a:prstGeom prst="straightConnector1">
                        <a:avLst/>
                      </a:prstGeom>
                      <a:noFill/>
                      <a:ln cap="flat" cmpd="sng" w="19050">
                        <a:solidFill>
                          <a:schemeClr val="accent6"/>
                        </a:solidFill>
                        <a:prstDash val="solid"/>
                        <a:miter lim="800000"/>
                        <a:headEnd len="sm" w="sm" type="none"/>
                        <a:tailEnd len="sm" w="sm" type="none"/>
                      </a:ln>
                    </wps:spPr>
                    <wps:bodyPr/>
                  </wps:wsp>
                </a:graphicData>
              </a:graphic>
            </wp:anchor>
          </w:drawing>
        </mc:Choice>
        <mc:Fallback>
          <w:drawing>
            <wp:anchor allowOverlap="1" behindDoc="0" distB="0" distT="0" distL="114300" distR="114300" hidden="0" layoutInCell="1" locked="0" relativeHeight="0" simplePos="0">
              <wp:simplePos x="0" y="0"/>
              <wp:positionH relativeFrom="column">
                <wp:posOffset>-12698</wp:posOffset>
              </wp:positionH>
              <wp:positionV relativeFrom="paragraph">
                <wp:posOffset>139700</wp:posOffset>
              </wp:positionV>
              <wp:extent cx="5785223" cy="12700"/>
              <wp:effectExtent b="0" l="0" r="0" t="0"/>
              <wp:wrapNone/>
              <wp:docPr id="1"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5785223" cy="12700"/>
                      </a:xfrm>
                      <a:prstGeom prst="rect"/>
                      <a:ln/>
                    </pic:spPr>
                  </pic:pic>
                </a:graphicData>
              </a:graphic>
            </wp:anchor>
          </w:drawing>
        </mc:Fallback>
      </mc:AlternateContent>
    </w:r>
  </w:p>
  <w:p w:rsidR="00000000" w:rsidDel="00000000" w:rsidP="00000000" w:rsidRDefault="00000000" w:rsidRPr="00000000" w14:paraId="00000040">
    <w:pPr>
      <w:pBdr>
        <w:top w:space="0" w:sz="0" w:val="nil"/>
        <w:left w:space="0" w:sz="0" w:val="nil"/>
        <w:bottom w:space="0" w:sz="0" w:val="nil"/>
        <w:right w:space="0" w:sz="0" w:val="nil"/>
        <w:between w:space="0" w:sz="0" w:val="nil"/>
      </w:pBdr>
      <w:tabs>
        <w:tab w:val="center" w:leader="none" w:pos="4252"/>
        <w:tab w:val="right" w:leader="none" w:pos="8504"/>
      </w:tabs>
      <w:spacing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pBdr>
        <w:top w:space="0" w:sz="0" w:val="nil"/>
        <w:left w:space="0" w:sz="0" w:val="nil"/>
        <w:bottom w:space="0" w:sz="0" w:val="nil"/>
        <w:right w:space="0" w:sz="0" w:val="nil"/>
        <w:between w:space="0" w:sz="0" w:val="nil"/>
      </w:pBdr>
      <w:tabs>
        <w:tab w:val="center" w:leader="none" w:pos="4252"/>
        <w:tab w:val="right" w:leader="none" w:pos="8504"/>
      </w:tabs>
      <w:spacing w:line="240" w:lineRule="auto"/>
      <w:rPr>
        <w:color w:val="000000"/>
      </w:rPr>
    </w:pPr>
    <w:r w:rsidDel="00000000" w:rsidR="00000000" w:rsidRPr="00000000">
      <w:rPr>
        <w:color w:val="000000"/>
        <w:rtl w:val="0"/>
      </w:rPr>
      <w:tab/>
    </w:r>
    <w:r w:rsidDel="00000000" w:rsidR="00000000" w:rsidRPr="00000000">
      <w:drawing>
        <wp:anchor allowOverlap="1" behindDoc="0" distB="0" distT="0" distL="114300" distR="114300" hidden="0" layoutInCell="1" locked="0" relativeHeight="0" simplePos="0">
          <wp:simplePos x="0" y="0"/>
          <wp:positionH relativeFrom="column">
            <wp:posOffset>3571875</wp:posOffset>
          </wp:positionH>
          <wp:positionV relativeFrom="paragraph">
            <wp:posOffset>-152398</wp:posOffset>
          </wp:positionV>
          <wp:extent cx="1214058" cy="1183323"/>
          <wp:effectExtent b="0" l="0" r="0" t="0"/>
          <wp:wrapNone/>
          <wp:docPr descr="Captura de pantalla de computadora&#10;&#10;Descripción generada automáticamente" id="3" name="image1.png"/>
          <a:graphic>
            <a:graphicData uri="http://schemas.openxmlformats.org/drawingml/2006/picture">
              <pic:pic>
                <pic:nvPicPr>
                  <pic:cNvPr descr="Captura de pantalla de computadora&#10;&#10;Descripción generada automáticamente" id="0" name="image1.png"/>
                  <pic:cNvPicPr preferRelativeResize="0"/>
                </pic:nvPicPr>
                <pic:blipFill>
                  <a:blip r:embed="rId1"/>
                  <a:srcRect b="7862" l="26233" r="30598" t="17520"/>
                  <a:stretch>
                    <a:fillRect/>
                  </a:stretch>
                </pic:blipFill>
                <pic:spPr>
                  <a:xfrm>
                    <a:off x="0" y="0"/>
                    <a:ext cx="1214058" cy="1183323"/>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563245</wp:posOffset>
          </wp:positionH>
          <wp:positionV relativeFrom="paragraph">
            <wp:posOffset>-151763</wp:posOffset>
          </wp:positionV>
          <wp:extent cx="1252800" cy="1039334"/>
          <wp:effectExtent b="0" l="0" r="0" t="0"/>
          <wp:wrapTopAndBottom distB="0" distT="0"/>
          <wp:docPr descr="Logotipo, nombre de la empresa&#10;&#10;Descripción generada automáticamente" id="4" name="image2.png"/>
          <a:graphic>
            <a:graphicData uri="http://schemas.openxmlformats.org/drawingml/2006/picture">
              <pic:pic>
                <pic:nvPicPr>
                  <pic:cNvPr descr="Logotipo, nombre de la empresa&#10;&#10;Descripción generada automáticamente" id="0" name="image2.png"/>
                  <pic:cNvPicPr preferRelativeResize="0"/>
                </pic:nvPicPr>
                <pic:blipFill>
                  <a:blip r:embed="rId2"/>
                  <a:srcRect b="0" l="0" r="0" t="0"/>
                  <a:stretch>
                    <a:fillRect/>
                  </a:stretch>
                </pic:blipFill>
                <pic:spPr>
                  <a:xfrm>
                    <a:off x="0" y="0"/>
                    <a:ext cx="1252800" cy="1039334"/>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A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ipen.org/sites/default/files/documents/cetaar_anexo_d_informe_pap_15_junio_2021.pdf" TargetMode="External"/><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